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1264" w14:textId="77777777" w:rsidR="00D46B41" w:rsidRPr="00E65C78" w:rsidRDefault="00D46B41" w:rsidP="00D46B41">
      <w:pPr>
        <w:spacing w:after="0"/>
        <w:jc w:val="center"/>
        <w:rPr>
          <w:rFonts w:ascii="Asap" w:hAnsi="Asap" w:cstheme="minorHAnsi"/>
          <w:b/>
          <w:sz w:val="48"/>
        </w:rPr>
      </w:pPr>
      <w:r w:rsidRPr="00E65C78">
        <w:rPr>
          <w:rFonts w:ascii="Asap" w:hAnsi="Asap" w:cstheme="minorHAnsi"/>
          <w:b/>
          <w:sz w:val="48"/>
        </w:rPr>
        <w:t>Safe Working Procedure</w:t>
      </w:r>
    </w:p>
    <w:p w14:paraId="7AA3602A" w14:textId="77777777" w:rsidR="00D46B41" w:rsidRPr="00E65C78" w:rsidRDefault="00D46B41" w:rsidP="00D46B41">
      <w:pPr>
        <w:spacing w:after="0"/>
        <w:jc w:val="center"/>
        <w:rPr>
          <w:rFonts w:ascii="Asap" w:hAnsi="Asap" w:cstheme="minorHAnsi"/>
          <w:sz w:val="36"/>
        </w:rPr>
      </w:pPr>
      <w:r w:rsidRPr="00E65C78">
        <w:rPr>
          <w:rFonts w:ascii="Asap" w:hAnsi="Asap" w:cstheme="minorHAnsi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38473" wp14:editId="5F3D2B2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5C005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+ozwEAAAMEAAAOAAAAZHJzL2Uyb0RvYy54bWysU8GO0zAQvSPxD5bvNMlKW5a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66"/>
      </w:tblGrid>
      <w:tr w:rsidR="00D46B41" w:rsidRPr="00E65C78" w14:paraId="552FCDC9" w14:textId="77777777" w:rsidTr="00987B04">
        <w:trPr>
          <w:trHeight w:val="446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8AD234A" w14:textId="77777777" w:rsidR="00D46B41" w:rsidRPr="00E65C78" w:rsidRDefault="00D46B41" w:rsidP="00DE46D3">
            <w:pPr>
              <w:spacing w:after="0"/>
              <w:jc w:val="center"/>
              <w:rPr>
                <w:rFonts w:ascii="Asap" w:hAnsi="Asap" w:cs="Arial"/>
                <w:b/>
                <w:color w:val="FFFFFF"/>
                <w:sz w:val="32"/>
                <w:szCs w:val="32"/>
              </w:rPr>
            </w:pPr>
            <w:r w:rsidRPr="00E65C78">
              <w:rPr>
                <w:rFonts w:ascii="Asap" w:hAnsi="Asap" w:cs="Arial"/>
                <w:b/>
                <w:color w:val="FFFFFF" w:themeColor="background1"/>
                <w:sz w:val="32"/>
                <w:szCs w:val="32"/>
              </w:rPr>
              <w:t xml:space="preserve">Safe Working Procedure for </w:t>
            </w:r>
            <w:r w:rsidR="00987B04">
              <w:rPr>
                <w:rFonts w:ascii="Asap" w:hAnsi="Asap" w:cs="Arial"/>
                <w:b/>
                <w:color w:val="FFFFFF" w:themeColor="background1"/>
                <w:sz w:val="32"/>
                <w:szCs w:val="32"/>
              </w:rPr>
              <w:t xml:space="preserve">using a Grab Crane </w:t>
            </w:r>
          </w:p>
        </w:tc>
      </w:tr>
    </w:tbl>
    <w:p w14:paraId="25F6742F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p w14:paraId="7AD3F295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14:paraId="2B830B2F" w14:textId="77777777" w:rsidTr="004A29CA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00E3138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Purpose</w:t>
            </w:r>
          </w:p>
        </w:tc>
      </w:tr>
    </w:tbl>
    <w:p w14:paraId="5D50DBBF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020B07C8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This Safe Working procedure (SWP) has been developed to </w:t>
      </w:r>
      <w:r w:rsidR="00F158FE" w:rsidRPr="00E65C78">
        <w:rPr>
          <w:rFonts w:ascii="Asap" w:hAnsi="Asap" w:cs="Tahoma"/>
        </w:rPr>
        <w:t>fulfil</w:t>
      </w:r>
      <w:r w:rsidRPr="00E65C78">
        <w:rPr>
          <w:rFonts w:ascii="Asap" w:hAnsi="Asap" w:cs="Tahoma"/>
        </w:rPr>
        <w:t xml:space="preserve"> the requirements of the Health &amp; Safety at Work Act 1974. Refer to Health &amp; Safety at Work posters located in the Depots.</w:t>
      </w:r>
    </w:p>
    <w:p w14:paraId="7C362B84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14:paraId="6AD5EA84" w14:textId="77777777" w:rsidTr="002222FD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5305912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Scope</w:t>
            </w:r>
          </w:p>
        </w:tc>
      </w:tr>
    </w:tbl>
    <w:p w14:paraId="2B92C822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391495B2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This instruction applies to all Employees of </w:t>
      </w:r>
      <w:r w:rsidR="00987B04">
        <w:rPr>
          <w:rFonts w:ascii="Asap" w:hAnsi="Asap" w:cs="Tahoma"/>
        </w:rPr>
        <w:t xml:space="preserve">the A1 Group </w:t>
      </w:r>
      <w:r w:rsidRPr="00E65C78">
        <w:rPr>
          <w:rFonts w:ascii="Asap" w:hAnsi="Asap" w:cs="Tahoma"/>
        </w:rPr>
        <w:t>and will be read in association with other Safe Working Procedures. For a full list of Safe Working Procedures refer to the Health &amp; Safety Drive located on the main server or contact your depot Health &amp; Safety Monitor.</w:t>
      </w:r>
    </w:p>
    <w:p w14:paraId="65BFA33B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14:paraId="288ABA65" w14:textId="77777777" w:rsidTr="002222FD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3E5F8E9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Risk Assessment</w:t>
            </w:r>
          </w:p>
        </w:tc>
      </w:tr>
    </w:tbl>
    <w:p w14:paraId="6D1D6D8F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1D0101FC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Carry out a dynamic risk assessment prior to </w:t>
      </w:r>
      <w:r w:rsidR="00987B04">
        <w:rPr>
          <w:rFonts w:ascii="Asap" w:hAnsi="Asap" w:cs="Tahoma"/>
        </w:rPr>
        <w:t>operating the Grab Crane</w:t>
      </w:r>
      <w:r w:rsidRPr="00E65C78">
        <w:rPr>
          <w:rFonts w:ascii="Asap" w:hAnsi="Asap" w:cs="Tahoma"/>
        </w:rPr>
        <w:t xml:space="preserve">. Basic safety precautions should always be followed to reduce the risk of personal injury. Refer to a member of management if unsure. </w:t>
      </w:r>
    </w:p>
    <w:p w14:paraId="4AB5DDEA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tbl>
      <w:tblPr>
        <w:tblpPr w:leftFromText="180" w:rightFromText="180" w:vertAnchor="text" w:horzAnchor="margin" w:tblpX="98" w:tblpY="-70"/>
        <w:tblW w:w="4884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13"/>
      </w:tblGrid>
      <w:tr w:rsidR="00D46B41" w:rsidRPr="00E65C78" w14:paraId="66E90D26" w14:textId="77777777" w:rsidTr="002222FD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E0F2AC8" w14:textId="77777777" w:rsidR="00D46B41" w:rsidRPr="00E65C78" w:rsidRDefault="00D46B41" w:rsidP="002222FD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Personal Protection Equipment</w:t>
            </w:r>
          </w:p>
        </w:tc>
      </w:tr>
    </w:tbl>
    <w:p w14:paraId="15AA6A7C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Ensure that you are wearing the correct PPE. Steel Toe Cap boots and Gloves should be work at all times when </w:t>
      </w:r>
      <w:r w:rsidR="00987B04">
        <w:rPr>
          <w:rFonts w:ascii="Asap" w:hAnsi="Asap" w:cs="Tahoma"/>
        </w:rPr>
        <w:t>using the Grab Crane</w:t>
      </w:r>
      <w:r w:rsidRPr="00E65C78">
        <w:rPr>
          <w:rFonts w:ascii="Asap" w:hAnsi="Asap" w:cs="Tahoma"/>
        </w:rPr>
        <w:t xml:space="preserve">. If you require additional PPE then contact your line manager. </w:t>
      </w:r>
    </w:p>
    <w:p w14:paraId="45C3DE4E" w14:textId="77777777" w:rsidR="00D46B41" w:rsidRPr="00E65C78" w:rsidRDefault="00D46B41" w:rsidP="00D46B41">
      <w:pPr>
        <w:pStyle w:val="ListParagraph"/>
        <w:rPr>
          <w:rFonts w:ascii="Asap" w:hAnsi="Asap" w:cs="Tahoma"/>
          <w:sz w:val="22"/>
          <w:szCs w:val="22"/>
        </w:rPr>
      </w:pPr>
    </w:p>
    <w:tbl>
      <w:tblPr>
        <w:tblpPr w:leftFromText="180" w:rightFromText="180" w:vertAnchor="text" w:horzAnchor="margin" w:tblpX="108" w:tblpY="63"/>
        <w:tblW w:w="488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05"/>
      </w:tblGrid>
      <w:tr w:rsidR="00D46B41" w:rsidRPr="00E65C78" w14:paraId="19AAB139" w14:textId="77777777" w:rsidTr="00592F33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6342637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Manual Handling</w:t>
            </w:r>
          </w:p>
        </w:tc>
      </w:tr>
    </w:tbl>
    <w:p w14:paraId="445D95BF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5546A983" w14:textId="77777777" w:rsidR="00D46B41" w:rsidRPr="00987B04" w:rsidRDefault="00D46B41" w:rsidP="00987B04">
      <w:pPr>
        <w:pStyle w:val="ListParagraph"/>
        <w:numPr>
          <w:ilvl w:val="0"/>
          <w:numId w:val="2"/>
        </w:numPr>
        <w:rPr>
          <w:rFonts w:ascii="Asap" w:hAnsi="Asap" w:cs="Tahoma"/>
        </w:rPr>
      </w:pPr>
      <w:r w:rsidRPr="00E65C78">
        <w:rPr>
          <w:rFonts w:ascii="Asap" w:hAnsi="Asap" w:cs="Tahoma"/>
          <w:sz w:val="22"/>
          <w:szCs w:val="22"/>
        </w:rPr>
        <w:t>The</w:t>
      </w:r>
      <w:r w:rsidR="00987B04">
        <w:rPr>
          <w:rFonts w:ascii="Asap" w:hAnsi="Asap" w:cs="Tahoma"/>
          <w:sz w:val="22"/>
          <w:szCs w:val="22"/>
        </w:rPr>
        <w:t xml:space="preserve">re is no manual handling associated with this role </w:t>
      </w:r>
      <w:r w:rsidRPr="00E65C78">
        <w:rPr>
          <w:rFonts w:ascii="Asap" w:hAnsi="Asap" w:cs="Tahoma"/>
          <w:sz w:val="22"/>
          <w:szCs w:val="22"/>
        </w:rPr>
        <w:t xml:space="preserve"> </w:t>
      </w:r>
    </w:p>
    <w:p w14:paraId="12E1DA5D" w14:textId="77777777" w:rsidR="00987B04" w:rsidRPr="00E65C78" w:rsidRDefault="00987B04" w:rsidP="00987B04">
      <w:pPr>
        <w:pStyle w:val="ListParagraph"/>
        <w:rPr>
          <w:rFonts w:ascii="Asap" w:hAnsi="Asap" w:cs="Tahoma"/>
        </w:rPr>
      </w:pPr>
    </w:p>
    <w:p w14:paraId="7D82D81B" w14:textId="77777777"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tbl>
      <w:tblPr>
        <w:tblpPr w:leftFromText="180" w:rightFromText="180" w:vertAnchor="text" w:horzAnchor="margin" w:tblpX="98" w:tblpY="-254"/>
        <w:tblW w:w="4884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13"/>
      </w:tblGrid>
      <w:tr w:rsidR="00D46B41" w:rsidRPr="00E65C78" w14:paraId="43712D53" w14:textId="77777777" w:rsidTr="002222FD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FA97819" w14:textId="77777777" w:rsidR="00D46B41" w:rsidRPr="00E65C78" w:rsidRDefault="00D46B41" w:rsidP="002222FD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Operational Procedure</w:t>
            </w:r>
          </w:p>
        </w:tc>
      </w:tr>
    </w:tbl>
    <w:p w14:paraId="67E4A59D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A</w:t>
      </w:r>
      <w:r w:rsidR="007232A2">
        <w:rPr>
          <w:rFonts w:ascii="Asap" w:hAnsi="Asap" w:cs="Tahoma"/>
          <w:sz w:val="22"/>
          <w:szCs w:val="22"/>
        </w:rPr>
        <w:t>t</w:t>
      </w:r>
      <w:r>
        <w:rPr>
          <w:rFonts w:ascii="Asap" w:hAnsi="Asap" w:cs="Tahoma"/>
          <w:sz w:val="22"/>
          <w:szCs w:val="22"/>
        </w:rPr>
        <w:t xml:space="preserve"> the start of shift ensure wearing correct PPE</w:t>
      </w:r>
      <w:r w:rsidR="007232A2">
        <w:rPr>
          <w:rFonts w:ascii="Asap" w:hAnsi="Asap" w:cs="Tahoma"/>
          <w:sz w:val="22"/>
          <w:szCs w:val="22"/>
        </w:rPr>
        <w:t xml:space="preserve"> – steel toe capped boots / safety googles / hard hat / gloves </w:t>
      </w:r>
    </w:p>
    <w:p w14:paraId="49B2576B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Conduct daily check using the Grab crane checklist – machine oil / water / diesel / cab glass clean and free of defects </w:t>
      </w:r>
    </w:p>
    <w:p w14:paraId="59D0867A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Conduct a visual walkaround of the grab crane</w:t>
      </w:r>
      <w:r w:rsidR="007232A2">
        <w:rPr>
          <w:rFonts w:ascii="Asap" w:hAnsi="Asap" w:cs="Tahoma"/>
          <w:sz w:val="22"/>
          <w:szCs w:val="22"/>
        </w:rPr>
        <w:t xml:space="preserve"> for </w:t>
      </w:r>
      <w:r w:rsidR="002240D8">
        <w:rPr>
          <w:rFonts w:ascii="Asap" w:hAnsi="Asap" w:cs="Tahoma"/>
          <w:sz w:val="22"/>
          <w:szCs w:val="22"/>
        </w:rPr>
        <w:t xml:space="preserve">any </w:t>
      </w:r>
      <w:r w:rsidR="007232A2">
        <w:rPr>
          <w:rFonts w:ascii="Asap" w:hAnsi="Asap" w:cs="Tahoma"/>
          <w:sz w:val="22"/>
          <w:szCs w:val="22"/>
        </w:rPr>
        <w:t xml:space="preserve">external defects </w:t>
      </w:r>
    </w:p>
    <w:p w14:paraId="2FC3D1A9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Report any def</w:t>
      </w:r>
      <w:r w:rsidR="007232A2">
        <w:rPr>
          <w:rFonts w:ascii="Asap" w:hAnsi="Asap" w:cs="Tahoma"/>
          <w:sz w:val="22"/>
          <w:szCs w:val="22"/>
        </w:rPr>
        <w:t xml:space="preserve">ects </w:t>
      </w:r>
      <w:r>
        <w:rPr>
          <w:rFonts w:ascii="Asap" w:hAnsi="Asap" w:cs="Tahoma"/>
          <w:sz w:val="22"/>
          <w:szCs w:val="22"/>
        </w:rPr>
        <w:t xml:space="preserve">and </w:t>
      </w:r>
      <w:r w:rsidR="007232A2">
        <w:rPr>
          <w:rFonts w:ascii="Asap" w:hAnsi="Asap" w:cs="Tahoma"/>
          <w:sz w:val="22"/>
          <w:szCs w:val="22"/>
        </w:rPr>
        <w:t xml:space="preserve">DO NOT USE </w:t>
      </w:r>
      <w:r>
        <w:rPr>
          <w:rFonts w:ascii="Asap" w:hAnsi="Asap" w:cs="Tahoma"/>
          <w:sz w:val="22"/>
          <w:szCs w:val="22"/>
        </w:rPr>
        <w:t>Grab crane until fault has been rectified</w:t>
      </w:r>
      <w:r w:rsidR="007232A2">
        <w:rPr>
          <w:rFonts w:ascii="Asap" w:hAnsi="Asap" w:cs="Tahoma"/>
          <w:sz w:val="22"/>
          <w:szCs w:val="22"/>
        </w:rPr>
        <w:t xml:space="preserve"> by a qualified mechanic </w:t>
      </w:r>
    </w:p>
    <w:p w14:paraId="064F03FC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Climb into the cab in a controlled manner </w:t>
      </w:r>
    </w:p>
    <w:p w14:paraId="205887E1" w14:textId="77777777" w:rsidR="007232A2" w:rsidRDefault="00D11735" w:rsidP="007232A2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Ensure Grab crane </w:t>
      </w:r>
      <w:r w:rsidR="002240D8">
        <w:rPr>
          <w:rFonts w:ascii="Asap" w:hAnsi="Asap" w:cs="Tahoma"/>
          <w:sz w:val="22"/>
          <w:szCs w:val="22"/>
        </w:rPr>
        <w:t>is</w:t>
      </w:r>
      <w:r>
        <w:rPr>
          <w:rFonts w:ascii="Asap" w:hAnsi="Asap" w:cs="Tahoma"/>
          <w:sz w:val="22"/>
          <w:szCs w:val="22"/>
        </w:rPr>
        <w:t xml:space="preserve"> on even ground</w:t>
      </w:r>
      <w:r w:rsidR="007232A2">
        <w:rPr>
          <w:rFonts w:ascii="Asap" w:hAnsi="Asap" w:cs="Tahoma"/>
          <w:sz w:val="22"/>
          <w:szCs w:val="22"/>
        </w:rPr>
        <w:t xml:space="preserve"> </w:t>
      </w:r>
    </w:p>
    <w:p w14:paraId="7F619874" w14:textId="77777777" w:rsidR="007232A2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En</w:t>
      </w:r>
      <w:r w:rsidR="00D46B41" w:rsidRPr="00E65C78">
        <w:rPr>
          <w:rFonts w:ascii="Asap" w:hAnsi="Asap" w:cs="Tahoma"/>
          <w:sz w:val="22"/>
          <w:szCs w:val="22"/>
        </w:rPr>
        <w:t>sur</w:t>
      </w:r>
      <w:r>
        <w:rPr>
          <w:rFonts w:ascii="Asap" w:hAnsi="Asap" w:cs="Tahoma"/>
          <w:sz w:val="22"/>
          <w:szCs w:val="22"/>
        </w:rPr>
        <w:t>e working area i</w:t>
      </w:r>
      <w:r w:rsidR="002240D8">
        <w:rPr>
          <w:rFonts w:ascii="Asap" w:hAnsi="Asap" w:cs="Tahoma"/>
          <w:sz w:val="22"/>
          <w:szCs w:val="22"/>
        </w:rPr>
        <w:t>s</w:t>
      </w:r>
      <w:r>
        <w:rPr>
          <w:rFonts w:ascii="Asap" w:hAnsi="Asap" w:cs="Tahoma"/>
          <w:sz w:val="22"/>
          <w:szCs w:val="22"/>
        </w:rPr>
        <w:t xml:space="preserve"> clear and </w:t>
      </w:r>
      <w:r w:rsidR="007232A2">
        <w:rPr>
          <w:rFonts w:ascii="Asap" w:hAnsi="Asap" w:cs="Tahoma"/>
          <w:sz w:val="22"/>
          <w:szCs w:val="22"/>
        </w:rPr>
        <w:t xml:space="preserve">that no </w:t>
      </w:r>
      <w:r w:rsidR="002240D8">
        <w:rPr>
          <w:rFonts w:ascii="Asap" w:hAnsi="Asap" w:cs="Tahoma"/>
          <w:sz w:val="22"/>
          <w:szCs w:val="22"/>
        </w:rPr>
        <w:t>personnel is in the vicinity</w:t>
      </w:r>
      <w:r w:rsidR="00D3043B">
        <w:rPr>
          <w:rFonts w:ascii="Asap" w:hAnsi="Asap" w:cs="Tahoma"/>
          <w:sz w:val="22"/>
          <w:szCs w:val="22"/>
        </w:rPr>
        <w:t xml:space="preserve"> or reach of the crane</w:t>
      </w:r>
    </w:p>
    <w:p w14:paraId="5E22928D" w14:textId="77777777" w:rsidR="00D11735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Start the ignition on Grab crane</w:t>
      </w:r>
    </w:p>
    <w:p w14:paraId="6F5D012A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Begin to l</w:t>
      </w:r>
      <w:r w:rsidR="00D11735">
        <w:rPr>
          <w:rFonts w:ascii="Asap" w:hAnsi="Asap" w:cs="Tahoma"/>
          <w:sz w:val="22"/>
          <w:szCs w:val="22"/>
        </w:rPr>
        <w:t xml:space="preserve">oad the Car Baler (Sheer) with either cars or </w:t>
      </w:r>
      <w:r>
        <w:rPr>
          <w:rFonts w:ascii="Asap" w:hAnsi="Asap" w:cs="Tahoma"/>
          <w:sz w:val="22"/>
          <w:szCs w:val="22"/>
        </w:rPr>
        <w:t xml:space="preserve">mixed metals </w:t>
      </w:r>
    </w:p>
    <w:p w14:paraId="5E028F35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lastRenderedPageBreak/>
        <w:t xml:space="preserve">Continue to monitor surrounding area for employees or members of the public in vicinity – continue to work if necessary on other scrap away from the person </w:t>
      </w:r>
    </w:p>
    <w:p w14:paraId="233CD446" w14:textId="77777777" w:rsidR="00D3043B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Continue operating and take the specified breaks</w:t>
      </w:r>
    </w:p>
    <w:p w14:paraId="6FA84A1C" w14:textId="77777777" w:rsidR="007232A2" w:rsidRDefault="00D3043B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If your attention is needed in the working area, stop the crane and lower cab to standby level.</w:t>
      </w:r>
      <w:r w:rsidR="007232A2">
        <w:rPr>
          <w:rFonts w:ascii="Asap" w:hAnsi="Asap" w:cs="Tahoma"/>
          <w:sz w:val="22"/>
          <w:szCs w:val="22"/>
        </w:rPr>
        <w:t xml:space="preserve"> </w:t>
      </w:r>
    </w:p>
    <w:p w14:paraId="262FF55B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Once work complete switch off Grab crane and remove keys from ignition </w:t>
      </w:r>
    </w:p>
    <w:p w14:paraId="18E46E2A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Ensure the grab crane is safe  </w:t>
      </w:r>
    </w:p>
    <w:p w14:paraId="0E630D63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Conduct a visual check of the area prior to exiting the cab in case of any debris that may be in area</w:t>
      </w:r>
    </w:p>
    <w:p w14:paraId="0905576D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Exit the cab in a controlled manner  </w:t>
      </w:r>
    </w:p>
    <w:p w14:paraId="2CF79683" w14:textId="77777777" w:rsidR="00D46B41" w:rsidRP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Lock Grab crane </w:t>
      </w:r>
    </w:p>
    <w:p w14:paraId="3155F5FC" w14:textId="77777777"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p w14:paraId="49CA8895" w14:textId="77777777"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tbl>
      <w:tblPr>
        <w:tblpPr w:leftFromText="180" w:rightFromText="180" w:vertAnchor="text" w:horzAnchor="margin" w:tblpX="108" w:tblpY="-254"/>
        <w:tblW w:w="488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05"/>
      </w:tblGrid>
      <w:tr w:rsidR="00D46B41" w:rsidRPr="00E65C78" w14:paraId="1DACA16C" w14:textId="77777777" w:rsidTr="00592F33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9E69344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Safe Working Procedure</w:t>
            </w:r>
          </w:p>
        </w:tc>
      </w:tr>
    </w:tbl>
    <w:p w14:paraId="02B980AF" w14:textId="77777777" w:rsidR="00D46B41" w:rsidRPr="00E65C78" w:rsidRDefault="00D46B41" w:rsidP="00D46B41">
      <w:pPr>
        <w:spacing w:after="0"/>
        <w:rPr>
          <w:rFonts w:ascii="Asap" w:hAnsi="Asap" w:cs="Arial"/>
        </w:rPr>
      </w:pPr>
      <w:r w:rsidRPr="00E65C78">
        <w:rPr>
          <w:rFonts w:ascii="Asap" w:hAnsi="Asap" w:cs="Arial"/>
        </w:rPr>
        <w:t xml:space="preserve">The task must not be proceeded with if a problem occurs which is not covered by the Safe Working Procedure. Alternative solutions to existing problems are not acceptable unless verified by a member of the management. </w:t>
      </w:r>
    </w:p>
    <w:p w14:paraId="218A61E3" w14:textId="77777777" w:rsidR="00D46B41" w:rsidRPr="00E65C78" w:rsidRDefault="00D46B41" w:rsidP="00D46B41">
      <w:pPr>
        <w:spacing w:after="0"/>
        <w:rPr>
          <w:rFonts w:ascii="Asap" w:hAnsi="Asap" w:cs="Arial"/>
        </w:rPr>
      </w:pPr>
    </w:p>
    <w:p w14:paraId="54DA10AA" w14:textId="77777777"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  <w:r w:rsidRPr="007232A2">
        <w:rPr>
          <w:rFonts w:ascii="Asap" w:hAnsi="Asap" w:cs="Arial"/>
          <w:b/>
        </w:rPr>
        <w:t xml:space="preserve">DO NOT ATTEMPT TO </w:t>
      </w:r>
      <w:r w:rsidR="007232A2" w:rsidRPr="007232A2">
        <w:rPr>
          <w:rFonts w:ascii="Asap" w:hAnsi="Asap" w:cs="Arial"/>
          <w:b/>
        </w:rPr>
        <w:t xml:space="preserve">USE GRAB CRANE </w:t>
      </w:r>
      <w:r w:rsidRPr="007232A2">
        <w:rPr>
          <w:rFonts w:ascii="Asap" w:hAnsi="Asap" w:cs="Arial"/>
          <w:b/>
        </w:rPr>
        <w:t>IF YOUR DYNAMIC RISK ASSESMENT HIGHLIGHTS POTENTIAL ISSUES.</w:t>
      </w:r>
    </w:p>
    <w:p w14:paraId="4CBE3A60" w14:textId="77777777"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</w:p>
    <w:p w14:paraId="38D24EF1" w14:textId="77777777"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  <w:r w:rsidRPr="007232A2">
        <w:rPr>
          <w:rFonts w:ascii="Asap" w:hAnsi="Asap" w:cs="Arial"/>
          <w:b/>
        </w:rPr>
        <w:t>ANY DEVIATION FROM THE TRAINING PROCEDURE MAY RESULT IN INJURY</w:t>
      </w:r>
    </w:p>
    <w:p w14:paraId="772B33C3" w14:textId="77777777" w:rsidR="00D46B41" w:rsidRPr="00E65C78" w:rsidRDefault="00D46B41" w:rsidP="00D46B41">
      <w:pPr>
        <w:spacing w:after="0"/>
        <w:rPr>
          <w:rFonts w:ascii="Asap" w:hAnsi="Asap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66"/>
      </w:tblGrid>
      <w:tr w:rsidR="00D46B41" w:rsidRPr="007232A2" w14:paraId="3E81ADC8" w14:textId="77777777" w:rsidTr="007232A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F6DB33B" w14:textId="77777777" w:rsidR="00D46B41" w:rsidRPr="007232A2" w:rsidRDefault="005B6C9A" w:rsidP="00592F33">
            <w:pPr>
              <w:spacing w:after="0"/>
              <w:jc w:val="center"/>
              <w:rPr>
                <w:rFonts w:ascii="Asap" w:hAnsi="Asap" w:cs="Arial"/>
                <w:b/>
                <w:color w:val="FFFFFF"/>
                <w:sz w:val="28"/>
              </w:rPr>
            </w:pPr>
            <w:r w:rsidRPr="007232A2">
              <w:rPr>
                <w:rFonts w:ascii="Asap" w:hAnsi="Asap" w:cs="Arial"/>
                <w:b/>
                <w:color w:val="FFFFFF" w:themeColor="background1"/>
                <w:sz w:val="28"/>
              </w:rPr>
              <w:t xml:space="preserve">Confirmation </w:t>
            </w:r>
          </w:p>
        </w:tc>
      </w:tr>
    </w:tbl>
    <w:p w14:paraId="0FF4B936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p w14:paraId="3A720125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  <w:r w:rsidRPr="00E65C78">
        <w:rPr>
          <w:rFonts w:ascii="Asap" w:hAnsi="Asap" w:cstheme="minorHAnsi"/>
        </w:rPr>
        <w:t>I confirm I have read, understood and will follow this Safe Working procedure:</w:t>
      </w:r>
    </w:p>
    <w:p w14:paraId="42A2A895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p w14:paraId="752A222F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46B41" w:rsidRPr="008B3955" w14:paraId="613BD19B" w14:textId="77777777" w:rsidTr="00592F33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6E5EE8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Name:    </w:t>
            </w:r>
          </w:p>
        </w:tc>
      </w:tr>
    </w:tbl>
    <w:p w14:paraId="4EE513BB" w14:textId="77777777" w:rsidR="00D46B41" w:rsidRPr="008B3955" w:rsidRDefault="00D46B41" w:rsidP="00D46B41">
      <w:pPr>
        <w:spacing w:after="0"/>
        <w:rPr>
          <w:rFonts w:ascii="Asap" w:hAnsi="Asap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6"/>
        <w:gridCol w:w="284"/>
        <w:gridCol w:w="3806"/>
      </w:tblGrid>
      <w:tr w:rsidR="00D46B41" w:rsidRPr="008B3955" w14:paraId="60512C3B" w14:textId="77777777" w:rsidTr="00592F33">
        <w:trPr>
          <w:trHeight w:val="567"/>
        </w:trPr>
        <w:tc>
          <w:tcPr>
            <w:tcW w:w="30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32C067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Signature: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0C1698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BA3A1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Date:    </w:t>
            </w:r>
          </w:p>
        </w:tc>
      </w:tr>
    </w:tbl>
    <w:p w14:paraId="251ABDFC" w14:textId="77777777" w:rsidR="00D46B41" w:rsidRDefault="00D46B41" w:rsidP="00D46B41">
      <w:pPr>
        <w:rPr>
          <w:rFonts w:cstheme="minorHAnsi"/>
          <w:sz w:val="28"/>
          <w:szCs w:val="28"/>
        </w:rPr>
      </w:pPr>
    </w:p>
    <w:p w14:paraId="0DF72B44" w14:textId="77777777" w:rsidR="00F77919" w:rsidRPr="007E1CAB" w:rsidRDefault="00F77919" w:rsidP="002C4ABB">
      <w:pPr>
        <w:spacing w:after="60"/>
        <w:rPr>
          <w:rFonts w:ascii="Asap" w:hAnsi="Asap" w:cs="Tahoma"/>
          <w:sz w:val="24"/>
        </w:rPr>
      </w:pPr>
    </w:p>
    <w:sectPr w:rsidR="00F77919" w:rsidRPr="007E1CAB" w:rsidSect="00723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720" w:left="720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FA70" w14:textId="77777777" w:rsidR="00A853B0" w:rsidRDefault="00A853B0" w:rsidP="008A414F">
      <w:pPr>
        <w:spacing w:after="0" w:line="240" w:lineRule="auto"/>
      </w:pPr>
      <w:r>
        <w:separator/>
      </w:r>
    </w:p>
  </w:endnote>
  <w:endnote w:type="continuationSeparator" w:id="0">
    <w:p w14:paraId="669EC0CE" w14:textId="77777777" w:rsidR="00A853B0" w:rsidRDefault="00A853B0" w:rsidP="008A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77E9" w14:textId="77777777" w:rsidR="003344D8" w:rsidRDefault="00334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4386" w14:textId="77777777" w:rsidR="00D11735" w:rsidRDefault="00D1173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0C0566" wp14:editId="5F37FB16">
          <wp:simplePos x="0" y="0"/>
          <wp:positionH relativeFrom="margin">
            <wp:align>right</wp:align>
          </wp:positionH>
          <wp:positionV relativeFrom="paragraph">
            <wp:posOffset>-224155</wp:posOffset>
          </wp:positionV>
          <wp:extent cx="1457325" cy="8953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6452" w14:textId="77777777" w:rsidR="003344D8" w:rsidRDefault="00334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8A22" w14:textId="77777777" w:rsidR="00A853B0" w:rsidRDefault="00A853B0" w:rsidP="008A414F">
      <w:pPr>
        <w:spacing w:after="0" w:line="240" w:lineRule="auto"/>
      </w:pPr>
      <w:r>
        <w:separator/>
      </w:r>
    </w:p>
  </w:footnote>
  <w:footnote w:type="continuationSeparator" w:id="0">
    <w:p w14:paraId="7CA83686" w14:textId="77777777" w:rsidR="00A853B0" w:rsidRDefault="00A853B0" w:rsidP="008A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053E" w14:textId="77777777" w:rsidR="003344D8" w:rsidRDefault="00334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832E" w14:textId="64E6BF71" w:rsidR="007232A2" w:rsidRPr="007232A2" w:rsidRDefault="007232A2" w:rsidP="007232A2">
    <w:pPr>
      <w:tabs>
        <w:tab w:val="center" w:pos="4513"/>
        <w:tab w:val="right" w:pos="9026"/>
      </w:tabs>
      <w:spacing w:after="0" w:line="240" w:lineRule="auto"/>
      <w:jc w:val="center"/>
      <w:rPr>
        <w:rFonts w:ascii="Tahoma" w:eastAsia="Calibri" w:hAnsi="Tahoma" w:cs="Tahoma"/>
        <w:sz w:val="16"/>
      </w:rPr>
    </w:pPr>
    <w:r w:rsidRPr="007232A2">
      <w:rPr>
        <w:rFonts w:ascii="Tahoma" w:eastAsia="Calibri" w:hAnsi="Tahoma" w:cs="Tahoma"/>
        <w:color w:val="BFBFBF"/>
        <w:sz w:val="16"/>
      </w:rPr>
      <w:t xml:space="preserve">Creation Date: </w:t>
    </w:r>
    <w:r>
      <w:rPr>
        <w:rFonts w:ascii="Tahoma" w:eastAsia="Calibri" w:hAnsi="Tahoma" w:cs="Tahoma"/>
        <w:color w:val="BFBFBF"/>
        <w:sz w:val="16"/>
      </w:rPr>
      <w:t xml:space="preserve">February </w:t>
    </w:r>
    <w:r w:rsidRPr="007232A2">
      <w:rPr>
        <w:rFonts w:ascii="Tahoma" w:eastAsia="Calibri" w:hAnsi="Tahoma" w:cs="Tahoma"/>
        <w:color w:val="BFBFBF"/>
        <w:sz w:val="16"/>
      </w:rPr>
      <w:t>201</w:t>
    </w:r>
    <w:r>
      <w:rPr>
        <w:rFonts w:ascii="Tahoma" w:eastAsia="Calibri" w:hAnsi="Tahoma" w:cs="Tahoma"/>
        <w:color w:val="BFBFBF"/>
        <w:sz w:val="16"/>
      </w:rPr>
      <w:t>8</w:t>
    </w:r>
    <w:r w:rsidRPr="007232A2">
      <w:rPr>
        <w:rFonts w:ascii="Tahoma" w:eastAsia="Calibri" w:hAnsi="Tahoma" w:cs="Tahoma"/>
        <w:color w:val="BFBFBF"/>
        <w:sz w:val="16"/>
      </w:rPr>
      <w:t xml:space="preserve"> | Security &amp; Retention: STANDARD | Version: 2.0 | Reviewed Date: </w:t>
    </w:r>
    <w:r w:rsidR="008B0468">
      <w:rPr>
        <w:rFonts w:ascii="Tahoma" w:eastAsia="Calibri" w:hAnsi="Tahoma" w:cs="Tahoma"/>
        <w:color w:val="BFBFBF"/>
        <w:sz w:val="16"/>
      </w:rPr>
      <w:t>January 2024</w:t>
    </w:r>
  </w:p>
  <w:p w14:paraId="66DF3C5F" w14:textId="77777777" w:rsidR="007232A2" w:rsidRPr="007232A2" w:rsidRDefault="007232A2" w:rsidP="007232A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  <w:p w14:paraId="1D1BFF5A" w14:textId="77777777" w:rsidR="007232A2" w:rsidRPr="007232A2" w:rsidRDefault="007232A2" w:rsidP="00723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C120" w14:textId="77777777" w:rsidR="003344D8" w:rsidRDefault="00334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CFC"/>
    <w:multiLevelType w:val="hybridMultilevel"/>
    <w:tmpl w:val="62A82E7C"/>
    <w:lvl w:ilvl="0" w:tplc="2A58E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06"/>
    <w:multiLevelType w:val="hybridMultilevel"/>
    <w:tmpl w:val="F33C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398E"/>
    <w:multiLevelType w:val="hybridMultilevel"/>
    <w:tmpl w:val="4422181E"/>
    <w:lvl w:ilvl="0" w:tplc="7F4A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4616"/>
    <w:multiLevelType w:val="hybridMultilevel"/>
    <w:tmpl w:val="53880BC8"/>
    <w:lvl w:ilvl="0" w:tplc="BA9A19C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06481">
    <w:abstractNumId w:val="0"/>
  </w:num>
  <w:num w:numId="2" w16cid:durableId="1905871153">
    <w:abstractNumId w:val="1"/>
  </w:num>
  <w:num w:numId="3" w16cid:durableId="2056005793">
    <w:abstractNumId w:val="3"/>
  </w:num>
  <w:num w:numId="4" w16cid:durableId="1888569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MDQyNjAwNzYyMbBQ0lEKTi0uzszPAykwqgUA4rbsBCwAAAA="/>
  </w:docVars>
  <w:rsids>
    <w:rsidRoot w:val="008A414F"/>
    <w:rsid w:val="00104187"/>
    <w:rsid w:val="001A2B0E"/>
    <w:rsid w:val="00211133"/>
    <w:rsid w:val="002222FD"/>
    <w:rsid w:val="002240D8"/>
    <w:rsid w:val="00256F71"/>
    <w:rsid w:val="002C4ABB"/>
    <w:rsid w:val="002E04CA"/>
    <w:rsid w:val="003344D8"/>
    <w:rsid w:val="00421D55"/>
    <w:rsid w:val="00422FE1"/>
    <w:rsid w:val="004923E7"/>
    <w:rsid w:val="004A29CA"/>
    <w:rsid w:val="00514FA0"/>
    <w:rsid w:val="005B6C9A"/>
    <w:rsid w:val="00660077"/>
    <w:rsid w:val="00681DAC"/>
    <w:rsid w:val="006A72FF"/>
    <w:rsid w:val="006C374C"/>
    <w:rsid w:val="006D4B34"/>
    <w:rsid w:val="006D720E"/>
    <w:rsid w:val="007143EB"/>
    <w:rsid w:val="007232A2"/>
    <w:rsid w:val="00724D85"/>
    <w:rsid w:val="0077691C"/>
    <w:rsid w:val="007905AF"/>
    <w:rsid w:val="00792426"/>
    <w:rsid w:val="007E1CAB"/>
    <w:rsid w:val="007E7130"/>
    <w:rsid w:val="008A2D31"/>
    <w:rsid w:val="008A414F"/>
    <w:rsid w:val="008B0468"/>
    <w:rsid w:val="008E7733"/>
    <w:rsid w:val="00987B04"/>
    <w:rsid w:val="009C1F53"/>
    <w:rsid w:val="00A850DD"/>
    <w:rsid w:val="00A853B0"/>
    <w:rsid w:val="00A93A47"/>
    <w:rsid w:val="00AD5A8C"/>
    <w:rsid w:val="00B224EB"/>
    <w:rsid w:val="00B26557"/>
    <w:rsid w:val="00BA0FF1"/>
    <w:rsid w:val="00BA4211"/>
    <w:rsid w:val="00C354D0"/>
    <w:rsid w:val="00CF4023"/>
    <w:rsid w:val="00D11735"/>
    <w:rsid w:val="00D3043B"/>
    <w:rsid w:val="00D45A6B"/>
    <w:rsid w:val="00D46B41"/>
    <w:rsid w:val="00D9493F"/>
    <w:rsid w:val="00DD22D8"/>
    <w:rsid w:val="00DE3AE1"/>
    <w:rsid w:val="00DE46D3"/>
    <w:rsid w:val="00EA1198"/>
    <w:rsid w:val="00F158FE"/>
    <w:rsid w:val="00F353DB"/>
    <w:rsid w:val="00F432EC"/>
    <w:rsid w:val="00F77919"/>
    <w:rsid w:val="00F826B6"/>
    <w:rsid w:val="00FB5B19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15D22E"/>
  <w15:docId w15:val="{2A9B5886-0943-4830-A182-CD2488C1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4F"/>
  </w:style>
  <w:style w:type="paragraph" w:styleId="Footer">
    <w:name w:val="footer"/>
    <w:basedOn w:val="Normal"/>
    <w:link w:val="FooterChar"/>
    <w:uiPriority w:val="99"/>
    <w:unhideWhenUsed/>
    <w:rsid w:val="008A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4F"/>
  </w:style>
  <w:style w:type="paragraph" w:styleId="NoSpacing">
    <w:name w:val="No Spacing"/>
    <w:uiPriority w:val="1"/>
    <w:qFormat/>
    <w:rsid w:val="00792426"/>
    <w:pPr>
      <w:spacing w:after="0" w:line="240" w:lineRule="auto"/>
    </w:pPr>
  </w:style>
  <w:style w:type="table" w:styleId="TableGrid">
    <w:name w:val="Table Grid"/>
    <w:basedOn w:val="TableNormal"/>
    <w:rsid w:val="00D4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Thompson</dc:creator>
  <cp:lastModifiedBy>Sean Whittle</cp:lastModifiedBy>
  <cp:revision>5</cp:revision>
  <cp:lastPrinted>2018-05-03T15:23:00Z</cp:lastPrinted>
  <dcterms:created xsi:type="dcterms:W3CDTF">2020-12-29T13:40:00Z</dcterms:created>
  <dcterms:modified xsi:type="dcterms:W3CDTF">2024-01-04T09:11:00Z</dcterms:modified>
</cp:coreProperties>
</file>