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A0" w:rsidRPr="0086483B" w:rsidRDefault="007B4CA0" w:rsidP="007B4CA0">
      <w:pPr>
        <w:pStyle w:val="Indent1"/>
        <w:spacing w:after="120"/>
        <w:ind w:left="0"/>
        <w:rPr>
          <w:sz w:val="22"/>
          <w:szCs w:val="22"/>
        </w:rPr>
      </w:pPr>
      <w:r w:rsidRPr="0086483B">
        <w:rPr>
          <w:b/>
          <w:sz w:val="22"/>
          <w:szCs w:val="22"/>
        </w:rPr>
        <w:t>Purpose</w:t>
      </w:r>
    </w:p>
    <w:p w:rsidR="007B4CA0" w:rsidRPr="0086483B" w:rsidRDefault="007B4CA0" w:rsidP="007B4CA0">
      <w:pPr>
        <w:pStyle w:val="Indent1"/>
        <w:spacing w:after="120"/>
        <w:ind w:left="0"/>
        <w:rPr>
          <w:sz w:val="22"/>
          <w:szCs w:val="22"/>
        </w:rPr>
      </w:pPr>
    </w:p>
    <w:p w:rsidR="007B4CA0" w:rsidRPr="004822B6" w:rsidRDefault="007B4CA0" w:rsidP="007B4CA0">
      <w:pPr>
        <w:pStyle w:val="Num2-11"/>
        <w:numPr>
          <w:ilvl w:val="0"/>
          <w:numId w:val="0"/>
        </w:numPr>
        <w:rPr>
          <w:sz w:val="22"/>
          <w:szCs w:val="22"/>
        </w:rPr>
      </w:pPr>
      <w:r w:rsidRPr="004822B6">
        <w:rPr>
          <w:sz w:val="22"/>
          <w:szCs w:val="22"/>
        </w:rPr>
        <w:t>This document outlines our process for issuing corrective improvement notices for the management system.</w:t>
      </w:r>
    </w:p>
    <w:p w:rsidR="007B4CA0" w:rsidRPr="004822B6" w:rsidRDefault="007B4CA0" w:rsidP="007B4CA0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Non-conformances </w:t>
      </w:r>
      <w:r w:rsidRPr="004822B6">
        <w:rPr>
          <w:rFonts w:ascii="Arial" w:hAnsi="Arial"/>
          <w:sz w:val="22"/>
          <w:szCs w:val="22"/>
        </w:rPr>
        <w:t xml:space="preserve">detail </w:t>
      </w:r>
      <w:r>
        <w:rPr>
          <w:rFonts w:ascii="Arial" w:hAnsi="Arial"/>
          <w:sz w:val="22"/>
          <w:szCs w:val="22"/>
        </w:rPr>
        <w:t xml:space="preserve">a </w:t>
      </w:r>
      <w:r w:rsidRPr="004822B6">
        <w:rPr>
          <w:rFonts w:ascii="Arial" w:hAnsi="Arial"/>
          <w:sz w:val="22"/>
          <w:szCs w:val="22"/>
        </w:rPr>
        <w:t>failure to meet specified requirements and the subsequent action/s to implement correc</w:t>
      </w:r>
      <w:r>
        <w:rPr>
          <w:rFonts w:ascii="Arial" w:hAnsi="Arial"/>
          <w:sz w:val="22"/>
          <w:szCs w:val="22"/>
        </w:rPr>
        <w:t xml:space="preserve">tive and preventative actions and </w:t>
      </w:r>
      <w:r w:rsidRPr="004822B6">
        <w:rPr>
          <w:rFonts w:ascii="Arial" w:hAnsi="Arial"/>
          <w:sz w:val="22"/>
          <w:szCs w:val="22"/>
        </w:rPr>
        <w:t>may be in the form of:</w:t>
      </w:r>
    </w:p>
    <w:p w:rsidR="007B4CA0" w:rsidRPr="004822B6" w:rsidRDefault="007B4CA0" w:rsidP="007B4CA0">
      <w:pPr>
        <w:jc w:val="both"/>
        <w:outlineLvl w:val="0"/>
        <w:rPr>
          <w:rFonts w:ascii="Arial" w:hAnsi="Arial"/>
          <w:sz w:val="22"/>
          <w:szCs w:val="22"/>
        </w:rPr>
      </w:pPr>
    </w:p>
    <w:p w:rsidR="007B4CA0" w:rsidRPr="00755249" w:rsidRDefault="007B4CA0" w:rsidP="007B4CA0">
      <w:pPr>
        <w:numPr>
          <w:ilvl w:val="0"/>
          <w:numId w:val="24"/>
        </w:numPr>
        <w:spacing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755249">
        <w:rPr>
          <w:rFonts w:ascii="Arial" w:hAnsi="Arial"/>
          <w:sz w:val="22"/>
          <w:szCs w:val="22"/>
        </w:rPr>
        <w:t>Customer complaints (due to poor quality or the company not adhering to the project programme/specification) recor</w:t>
      </w:r>
      <w:r>
        <w:rPr>
          <w:rFonts w:ascii="Arial" w:hAnsi="Arial"/>
          <w:sz w:val="22"/>
          <w:szCs w:val="22"/>
        </w:rPr>
        <w:t xml:space="preserve">ded on </w:t>
      </w:r>
      <w:r w:rsidR="0076148D">
        <w:rPr>
          <w:rFonts w:ascii="Arial" w:hAnsi="Arial"/>
          <w:sz w:val="22"/>
          <w:szCs w:val="22"/>
        </w:rPr>
        <w:t>a customer complaint form in line with our complaint process</w:t>
      </w:r>
      <w:r>
        <w:rPr>
          <w:rFonts w:ascii="Arial" w:hAnsi="Arial"/>
          <w:sz w:val="22"/>
          <w:szCs w:val="22"/>
        </w:rPr>
        <w:t>.</w:t>
      </w:r>
    </w:p>
    <w:p w:rsidR="007B4CA0" w:rsidRDefault="007B4CA0" w:rsidP="007B4CA0">
      <w:pPr>
        <w:numPr>
          <w:ilvl w:val="0"/>
          <w:numId w:val="24"/>
        </w:numPr>
        <w:spacing w:after="240"/>
        <w:jc w:val="both"/>
        <w:outlineLvl w:val="0"/>
        <w:rPr>
          <w:rFonts w:ascii="Arial" w:hAnsi="Arial"/>
          <w:sz w:val="22"/>
          <w:szCs w:val="22"/>
        </w:rPr>
      </w:pPr>
      <w:r w:rsidRPr="004822B6">
        <w:rPr>
          <w:rFonts w:ascii="Arial" w:hAnsi="Arial"/>
          <w:sz w:val="22"/>
          <w:szCs w:val="22"/>
        </w:rPr>
        <w:t>Management system failure</w:t>
      </w:r>
      <w:r>
        <w:rPr>
          <w:rFonts w:ascii="Arial" w:hAnsi="Arial"/>
          <w:sz w:val="22"/>
          <w:szCs w:val="22"/>
        </w:rPr>
        <w:t xml:space="preserve"> – an improvement action request</w:t>
      </w:r>
    </w:p>
    <w:p w:rsidR="006026CD" w:rsidRDefault="006026CD" w:rsidP="006026CD">
      <w:pPr>
        <w:pStyle w:val="Indent1"/>
        <w:numPr>
          <w:ilvl w:val="0"/>
          <w:numId w:val="24"/>
        </w:numPr>
        <w:spacing w:after="60"/>
        <w:rPr>
          <w:sz w:val="22"/>
        </w:rPr>
      </w:pPr>
      <w:r>
        <w:rPr>
          <w:sz w:val="22"/>
        </w:rPr>
        <w:t>Any non-conformances raised by the Environment Agency on a routine visit (if required)</w:t>
      </w:r>
    </w:p>
    <w:p w:rsidR="007B4CA0" w:rsidRDefault="007B4CA0" w:rsidP="007B4CA0">
      <w:pPr>
        <w:pStyle w:val="Indent1"/>
        <w:ind w:left="0"/>
        <w:rPr>
          <w:rFonts w:ascii="Calibri" w:hAnsi="Calibri"/>
          <w:sz w:val="22"/>
          <w:szCs w:val="22"/>
        </w:rPr>
      </w:pPr>
    </w:p>
    <w:p w:rsidR="006026CD" w:rsidRPr="0086483B" w:rsidRDefault="006026CD" w:rsidP="007B4CA0">
      <w:pPr>
        <w:pStyle w:val="Indent1"/>
        <w:ind w:left="0"/>
        <w:rPr>
          <w:rFonts w:ascii="Calibri" w:hAnsi="Calibri"/>
          <w:sz w:val="22"/>
          <w:szCs w:val="22"/>
        </w:rPr>
      </w:pPr>
      <w:r w:rsidRPr="006026CD">
        <w:rPr>
          <w:rFonts w:ascii="Calibri" w:hAnsi="Calibri"/>
          <w:b/>
          <w:sz w:val="24"/>
          <w:szCs w:val="24"/>
        </w:rPr>
        <w:t>Procedure</w:t>
      </w:r>
    </w:p>
    <w:p w:rsidR="007B4CA0" w:rsidRPr="0086483B" w:rsidRDefault="007B4CA0" w:rsidP="007B4CA0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86483B">
        <w:rPr>
          <w:rFonts w:ascii="Arial" w:hAnsi="Arial"/>
          <w:b/>
          <w:sz w:val="22"/>
          <w:szCs w:val="22"/>
        </w:rPr>
        <w:t>Improvement action request</w:t>
      </w:r>
    </w:p>
    <w:p w:rsidR="007B4CA0" w:rsidRPr="0086483B" w:rsidRDefault="007B4CA0" w:rsidP="007B4CA0">
      <w:pPr>
        <w:jc w:val="both"/>
        <w:outlineLvl w:val="0"/>
        <w:rPr>
          <w:rFonts w:ascii="Arial" w:hAnsi="Arial"/>
          <w:sz w:val="22"/>
          <w:szCs w:val="22"/>
        </w:rPr>
      </w:pPr>
    </w:p>
    <w:p w:rsidR="007B4CA0" w:rsidRDefault="007B4CA0" w:rsidP="007B4CA0">
      <w:pPr>
        <w:jc w:val="both"/>
        <w:outlineLvl w:val="0"/>
        <w:rPr>
          <w:rFonts w:ascii="Arial" w:hAnsi="Arial"/>
          <w:sz w:val="22"/>
          <w:szCs w:val="22"/>
        </w:rPr>
      </w:pPr>
      <w:r w:rsidRPr="0086483B">
        <w:rPr>
          <w:rFonts w:ascii="Arial" w:hAnsi="Arial"/>
          <w:sz w:val="22"/>
          <w:szCs w:val="22"/>
        </w:rPr>
        <w:t xml:space="preserve">An improvement action request </w:t>
      </w:r>
      <w:r>
        <w:rPr>
          <w:rFonts w:ascii="Arial" w:hAnsi="Arial"/>
          <w:sz w:val="22"/>
          <w:szCs w:val="22"/>
        </w:rPr>
        <w:t xml:space="preserve">form is used for the following </w:t>
      </w:r>
      <w:r w:rsidRPr="0086483B">
        <w:rPr>
          <w:rFonts w:ascii="Arial" w:hAnsi="Arial"/>
          <w:sz w:val="22"/>
          <w:szCs w:val="22"/>
        </w:rPr>
        <w:t xml:space="preserve">non-conformance </w:t>
      </w:r>
      <w:r>
        <w:rPr>
          <w:rFonts w:ascii="Arial" w:hAnsi="Arial"/>
          <w:sz w:val="22"/>
          <w:szCs w:val="22"/>
        </w:rPr>
        <w:t>when identified;</w:t>
      </w:r>
    </w:p>
    <w:p w:rsidR="007B4CA0" w:rsidRDefault="007B4CA0" w:rsidP="007B4CA0">
      <w:pPr>
        <w:jc w:val="both"/>
        <w:outlineLvl w:val="0"/>
        <w:rPr>
          <w:rFonts w:ascii="Arial" w:hAnsi="Arial"/>
          <w:sz w:val="22"/>
          <w:szCs w:val="22"/>
        </w:rPr>
      </w:pPr>
    </w:p>
    <w:p w:rsidR="007B4CA0" w:rsidRDefault="007B4CA0" w:rsidP="007B4CA0">
      <w:pPr>
        <w:numPr>
          <w:ilvl w:val="0"/>
          <w:numId w:val="24"/>
        </w:numPr>
        <w:tabs>
          <w:tab w:val="left" w:pos="1843"/>
        </w:tabs>
        <w:spacing w:after="240"/>
        <w:jc w:val="both"/>
        <w:outlineLvl w:val="0"/>
        <w:rPr>
          <w:rFonts w:ascii="Arial" w:hAnsi="Arial"/>
          <w:sz w:val="22"/>
          <w:szCs w:val="22"/>
        </w:rPr>
      </w:pPr>
      <w:r w:rsidRPr="0086483B">
        <w:rPr>
          <w:rFonts w:ascii="Arial" w:hAnsi="Arial"/>
          <w:sz w:val="22"/>
          <w:szCs w:val="22"/>
        </w:rPr>
        <w:tab/>
      </w:r>
      <w:r w:rsidRPr="004822B6">
        <w:rPr>
          <w:rFonts w:ascii="Arial" w:hAnsi="Arial"/>
          <w:sz w:val="22"/>
          <w:szCs w:val="22"/>
        </w:rPr>
        <w:t>Management system failure</w:t>
      </w:r>
      <w:r>
        <w:rPr>
          <w:rFonts w:ascii="Arial" w:hAnsi="Arial"/>
          <w:sz w:val="22"/>
          <w:szCs w:val="22"/>
        </w:rPr>
        <w:t xml:space="preserve"> – an improvement action request</w:t>
      </w:r>
    </w:p>
    <w:p w:rsidR="007B4CA0" w:rsidRPr="0086483B" w:rsidRDefault="007B4CA0" w:rsidP="007B4CA0">
      <w:pPr>
        <w:ind w:firstLine="284"/>
        <w:jc w:val="both"/>
        <w:outlineLvl w:val="0"/>
        <w:rPr>
          <w:rFonts w:ascii="Arial" w:hAnsi="Arial"/>
          <w:sz w:val="22"/>
          <w:szCs w:val="22"/>
        </w:rPr>
      </w:pPr>
    </w:p>
    <w:p w:rsidR="007B4CA0" w:rsidRPr="0086483B" w:rsidRDefault="007B4CA0" w:rsidP="007B4CA0">
      <w:pPr>
        <w:jc w:val="both"/>
        <w:outlineLvl w:val="0"/>
        <w:rPr>
          <w:rFonts w:ascii="Arial" w:hAnsi="Arial"/>
          <w:sz w:val="22"/>
          <w:szCs w:val="22"/>
        </w:rPr>
      </w:pPr>
      <w:r w:rsidRPr="0086483B">
        <w:rPr>
          <w:rFonts w:ascii="Arial" w:hAnsi="Arial"/>
          <w:sz w:val="22"/>
          <w:szCs w:val="22"/>
        </w:rPr>
        <w:t>The improvement action request will detail a failure to meet a specified requirement and the subsequent action/s to implement corrections and preventative actions.  The responsible Director or Manager for the area will be responsible for corrective and preventive actions; ensuring issues are resolved within any time scales as stated.</w:t>
      </w:r>
    </w:p>
    <w:p w:rsidR="007B4CA0" w:rsidRDefault="007B4CA0" w:rsidP="007B4CA0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7B4CA0" w:rsidRPr="0086483B" w:rsidRDefault="007B4CA0" w:rsidP="007B4CA0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7B4CA0" w:rsidRPr="004822B6" w:rsidRDefault="007B4CA0" w:rsidP="007B4CA0">
      <w:pPr>
        <w:spacing w:after="240"/>
        <w:jc w:val="both"/>
        <w:outlineLvl w:val="0"/>
        <w:rPr>
          <w:rFonts w:ascii="Arial" w:hAnsi="Arial"/>
          <w:sz w:val="22"/>
          <w:szCs w:val="22"/>
          <w:u w:val="single"/>
        </w:rPr>
      </w:pPr>
      <w:r w:rsidRPr="004822B6">
        <w:rPr>
          <w:rFonts w:ascii="Arial" w:hAnsi="Arial"/>
          <w:b/>
          <w:sz w:val="22"/>
          <w:szCs w:val="22"/>
        </w:rPr>
        <w:t>Corrective action / Correction (short term fix)</w:t>
      </w:r>
    </w:p>
    <w:p w:rsidR="007B4CA0" w:rsidRPr="004822B6" w:rsidRDefault="007B4CA0" w:rsidP="007B4CA0">
      <w:pPr>
        <w:jc w:val="both"/>
        <w:rPr>
          <w:rFonts w:ascii="Arial" w:hAnsi="Arial"/>
          <w:sz w:val="22"/>
          <w:szCs w:val="22"/>
        </w:rPr>
      </w:pPr>
      <w:r w:rsidRPr="004822B6">
        <w:rPr>
          <w:rFonts w:ascii="Arial" w:hAnsi="Arial"/>
          <w:sz w:val="22"/>
          <w:szCs w:val="22"/>
        </w:rPr>
        <w:t>An investigation will be carried out to find the cause of the non-conformance and the most appropriate action will be taken to eliminate the cause.</w:t>
      </w:r>
    </w:p>
    <w:p w:rsidR="007B4CA0" w:rsidRPr="004822B6" w:rsidRDefault="007B4CA0" w:rsidP="007B4CA0">
      <w:pPr>
        <w:jc w:val="both"/>
        <w:rPr>
          <w:rFonts w:ascii="Arial" w:hAnsi="Arial"/>
          <w:sz w:val="22"/>
          <w:szCs w:val="22"/>
        </w:rPr>
      </w:pPr>
    </w:p>
    <w:p w:rsidR="007B4CA0" w:rsidRPr="004822B6" w:rsidRDefault="007B4CA0" w:rsidP="007B4CA0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action will be recorded to ensure it is fixed and rectified at source.</w:t>
      </w:r>
    </w:p>
    <w:p w:rsidR="007B4CA0" w:rsidRPr="004822B6" w:rsidRDefault="007B4CA0" w:rsidP="007B4CA0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7B4CA0" w:rsidRDefault="007B4CA0" w:rsidP="007B4CA0">
      <w:pPr>
        <w:spacing w:after="240"/>
        <w:jc w:val="both"/>
        <w:outlineLvl w:val="0"/>
        <w:rPr>
          <w:rFonts w:ascii="Arial" w:hAnsi="Arial"/>
          <w:b/>
          <w:sz w:val="22"/>
          <w:szCs w:val="22"/>
        </w:rPr>
      </w:pPr>
    </w:p>
    <w:p w:rsidR="007B4CA0" w:rsidRPr="004822B6" w:rsidRDefault="007B4CA0" w:rsidP="007B4CA0">
      <w:pPr>
        <w:spacing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4822B6">
        <w:rPr>
          <w:rFonts w:ascii="Arial" w:hAnsi="Arial"/>
          <w:b/>
          <w:sz w:val="22"/>
          <w:szCs w:val="22"/>
        </w:rPr>
        <w:t>Preventive action (long</w:t>
      </w:r>
      <w:r>
        <w:rPr>
          <w:rFonts w:ascii="Arial" w:hAnsi="Arial"/>
          <w:b/>
          <w:sz w:val="22"/>
          <w:szCs w:val="22"/>
        </w:rPr>
        <w:t>-</w:t>
      </w:r>
      <w:r w:rsidRPr="004822B6">
        <w:rPr>
          <w:rFonts w:ascii="Arial" w:hAnsi="Arial"/>
          <w:b/>
          <w:sz w:val="22"/>
          <w:szCs w:val="22"/>
        </w:rPr>
        <w:t>term fix to prevent occurrence / reoccurrence)</w:t>
      </w:r>
    </w:p>
    <w:p w:rsidR="007B4CA0" w:rsidRPr="004822B6" w:rsidRDefault="007B4CA0" w:rsidP="007B4CA0">
      <w:pPr>
        <w:pStyle w:val="BodyTextIndent3"/>
        <w:spacing w:after="0"/>
        <w:ind w:left="0"/>
        <w:jc w:val="both"/>
        <w:rPr>
          <w:rFonts w:ascii="Arial" w:hAnsi="Arial"/>
          <w:sz w:val="22"/>
          <w:szCs w:val="22"/>
        </w:rPr>
      </w:pPr>
      <w:r w:rsidRPr="004822B6">
        <w:rPr>
          <w:rFonts w:ascii="Arial" w:hAnsi="Arial"/>
          <w:sz w:val="22"/>
          <w:szCs w:val="22"/>
        </w:rPr>
        <w:t>Preventive action is carried out in the form of the review of Management Review Meet</w:t>
      </w:r>
      <w:r>
        <w:rPr>
          <w:rFonts w:ascii="Arial" w:hAnsi="Arial"/>
          <w:sz w:val="22"/>
          <w:szCs w:val="22"/>
        </w:rPr>
        <w:t>ings, internal audits and n</w:t>
      </w:r>
      <w:r w:rsidRPr="004822B6">
        <w:rPr>
          <w:rFonts w:ascii="Arial" w:hAnsi="Arial"/>
          <w:sz w:val="22"/>
          <w:szCs w:val="22"/>
        </w:rPr>
        <w:t>on-conformance documentation, aiming to implement actions to prevent reoccurrence.</w:t>
      </w:r>
    </w:p>
    <w:p w:rsidR="007B4CA0" w:rsidRPr="004822B6" w:rsidRDefault="007B4CA0" w:rsidP="007B4CA0">
      <w:pPr>
        <w:pStyle w:val="BodyTextIndent3"/>
        <w:spacing w:after="0"/>
        <w:ind w:left="709"/>
        <w:jc w:val="both"/>
        <w:rPr>
          <w:rFonts w:ascii="Arial" w:hAnsi="Arial"/>
          <w:sz w:val="22"/>
          <w:szCs w:val="22"/>
        </w:rPr>
      </w:pPr>
    </w:p>
    <w:p w:rsidR="0076148D" w:rsidRDefault="0076148D" w:rsidP="007B4CA0">
      <w:pPr>
        <w:pStyle w:val="BodyTextIndent3"/>
        <w:ind w:left="0"/>
        <w:jc w:val="both"/>
        <w:rPr>
          <w:rFonts w:ascii="Arial" w:hAnsi="Arial"/>
          <w:sz w:val="22"/>
          <w:szCs w:val="22"/>
        </w:rPr>
      </w:pPr>
    </w:p>
    <w:p w:rsidR="007B4CA0" w:rsidRPr="004822B6" w:rsidRDefault="007B4CA0" w:rsidP="007B4CA0">
      <w:pPr>
        <w:pStyle w:val="BodyTextIndent3"/>
        <w:ind w:left="0"/>
        <w:jc w:val="both"/>
        <w:rPr>
          <w:rFonts w:ascii="Arial" w:hAnsi="Arial"/>
          <w:sz w:val="22"/>
          <w:szCs w:val="22"/>
        </w:rPr>
      </w:pPr>
      <w:r w:rsidRPr="004822B6">
        <w:rPr>
          <w:rFonts w:ascii="Arial" w:hAnsi="Arial"/>
          <w:sz w:val="22"/>
          <w:szCs w:val="22"/>
        </w:rPr>
        <w:lastRenderedPageBreak/>
        <w:t>This may include the following;</w:t>
      </w:r>
    </w:p>
    <w:p w:rsidR="007B4CA0" w:rsidRPr="004822B6" w:rsidRDefault="007B4CA0" w:rsidP="007B4CA0">
      <w:pPr>
        <w:pStyle w:val="BodyTextIndent3"/>
        <w:numPr>
          <w:ilvl w:val="0"/>
          <w:numId w:val="25"/>
        </w:numPr>
        <w:ind w:hanging="357"/>
        <w:jc w:val="both"/>
        <w:rPr>
          <w:rFonts w:ascii="Arial" w:hAnsi="Arial"/>
          <w:sz w:val="22"/>
          <w:szCs w:val="22"/>
        </w:rPr>
      </w:pPr>
      <w:r w:rsidRPr="004822B6">
        <w:rPr>
          <w:rFonts w:ascii="Arial" w:hAnsi="Arial"/>
          <w:sz w:val="22"/>
          <w:szCs w:val="22"/>
        </w:rPr>
        <w:t>Impact, aspect, risk assessment / method statement review</w:t>
      </w:r>
    </w:p>
    <w:p w:rsidR="007B4CA0" w:rsidRDefault="007B4CA0" w:rsidP="007B4CA0">
      <w:pPr>
        <w:pStyle w:val="BodyTextIndent3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4822B6">
        <w:rPr>
          <w:rFonts w:ascii="Arial" w:hAnsi="Arial"/>
          <w:sz w:val="22"/>
          <w:szCs w:val="22"/>
        </w:rPr>
        <w:t>Procedure / system review</w:t>
      </w:r>
    </w:p>
    <w:p w:rsidR="007B4CA0" w:rsidRDefault="007B4CA0" w:rsidP="007B4CA0">
      <w:pPr>
        <w:pStyle w:val="BodyTextIndent3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 review</w:t>
      </w:r>
    </w:p>
    <w:p w:rsidR="007B4CA0" w:rsidRPr="004822B6" w:rsidRDefault="007B4CA0" w:rsidP="007B4CA0">
      <w:pPr>
        <w:pStyle w:val="BodyTextIndent3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Training requirement</w:t>
      </w:r>
    </w:p>
    <w:p w:rsidR="007B4CA0" w:rsidRDefault="007B4CA0" w:rsidP="007B4CA0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7B4CA0" w:rsidRPr="0086483B" w:rsidRDefault="007B4CA0" w:rsidP="007B4CA0">
      <w:pPr>
        <w:spacing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86483B">
        <w:rPr>
          <w:rFonts w:ascii="Arial" w:hAnsi="Arial"/>
          <w:b/>
          <w:sz w:val="22"/>
          <w:szCs w:val="22"/>
        </w:rPr>
        <w:t>Corrective action review</w:t>
      </w:r>
    </w:p>
    <w:p w:rsidR="007B4CA0" w:rsidRPr="0086483B" w:rsidRDefault="007B4CA0" w:rsidP="007B4CA0">
      <w:pPr>
        <w:pStyle w:val="BodyText"/>
        <w:rPr>
          <w:rFonts w:ascii="Arial" w:hAnsi="Arial"/>
          <w:sz w:val="22"/>
          <w:szCs w:val="22"/>
        </w:rPr>
      </w:pPr>
      <w:r w:rsidRPr="0086483B">
        <w:rPr>
          <w:rFonts w:ascii="Arial" w:hAnsi="Arial"/>
          <w:sz w:val="22"/>
          <w:szCs w:val="22"/>
        </w:rPr>
        <w:t xml:space="preserve">A Corrective action review will be carried out during the Management Review Meeting. The effectiveness of actions taken since the last Management review meeting will be analysed. </w:t>
      </w:r>
      <w:r>
        <w:rPr>
          <w:rFonts w:ascii="Arial" w:hAnsi="Arial"/>
          <w:sz w:val="22"/>
          <w:szCs w:val="22"/>
        </w:rPr>
        <w:t xml:space="preserve"> </w:t>
      </w:r>
      <w:r w:rsidRPr="0086483B">
        <w:rPr>
          <w:rFonts w:ascii="Arial" w:hAnsi="Arial"/>
          <w:sz w:val="22"/>
          <w:szCs w:val="22"/>
        </w:rPr>
        <w:t xml:space="preserve">Where actions have not been effective, consideration will be given to alternative measures. The meeting will be documented and personnel nominated against specific target dates if any actions are required. </w:t>
      </w:r>
    </w:p>
    <w:p w:rsidR="007B4CA0" w:rsidRPr="00760D68" w:rsidRDefault="007B4CA0" w:rsidP="007B4CA0"/>
    <w:p w:rsidR="00027987" w:rsidRPr="00027987" w:rsidRDefault="00027987" w:rsidP="00027987">
      <w:pPr>
        <w:spacing w:after="240"/>
        <w:ind w:left="360"/>
        <w:rPr>
          <w:rFonts w:ascii="Arial" w:hAnsi="Arial" w:cs="Arial"/>
          <w:sz w:val="22"/>
          <w:szCs w:val="22"/>
        </w:rPr>
      </w:pPr>
    </w:p>
    <w:sectPr w:rsidR="00027987" w:rsidRPr="00027987" w:rsidSect="00CD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8" w:rsidRDefault="00C13918">
      <w:r>
        <w:separator/>
      </w:r>
    </w:p>
  </w:endnote>
  <w:endnote w:type="continuationSeparator" w:id="0">
    <w:p w:rsidR="00C13918" w:rsidRDefault="00C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1C" w:rsidRDefault="002D6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8" w:rsidRPr="002D661C" w:rsidRDefault="002D661C" w:rsidP="002D661C">
    <w:pPr>
      <w:pStyle w:val="Footer"/>
      <w:rPr>
        <w:i/>
      </w:rPr>
    </w:pPr>
    <w:r>
      <w:rPr>
        <w:i/>
      </w:rPr>
      <w:t xml:space="preserve">Issue 1 – Printed copies of this document are </w:t>
    </w:r>
    <w:r>
      <w:rPr>
        <w:i/>
      </w:rPr>
      <w:t>un-controlled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1C" w:rsidRDefault="002D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8" w:rsidRDefault="00C13918">
      <w:r>
        <w:separator/>
      </w:r>
    </w:p>
  </w:footnote>
  <w:footnote w:type="continuationSeparator" w:id="0">
    <w:p w:rsidR="00C13918" w:rsidRDefault="00C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1C" w:rsidRDefault="002D6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:rsidTr="009D79DD">
      <w:tc>
        <w:tcPr>
          <w:tcW w:w="6204" w:type="dxa"/>
          <w:shd w:val="clear" w:color="auto" w:fill="auto"/>
          <w:vAlign w:val="bottom"/>
        </w:tcPr>
        <w:p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7B4CA0">
            <w:rPr>
              <w:rFonts w:ascii="Verdana" w:hAnsi="Verdana" w:cs="Arial"/>
              <w:b/>
              <w:sz w:val="28"/>
              <w:szCs w:val="28"/>
            </w:rPr>
            <w:t>P 012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23825">
            <w:rPr>
              <w:rFonts w:ascii="Verdana" w:hAnsi="Verdana" w:cs="Arial"/>
              <w:b/>
              <w:sz w:val="28"/>
              <w:szCs w:val="28"/>
            </w:rPr>
            <w:t>–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7B4CA0">
            <w:rPr>
              <w:rFonts w:ascii="Verdana" w:hAnsi="Verdana" w:cs="Arial"/>
              <w:b/>
              <w:sz w:val="28"/>
              <w:szCs w:val="28"/>
            </w:rPr>
            <w:t>Non-conformance, Corrections and Preventative action</w:t>
          </w:r>
        </w:p>
        <w:p w:rsidR="00C13918" w:rsidRDefault="00C13918"/>
      </w:tc>
      <w:tc>
        <w:tcPr>
          <w:tcW w:w="3969" w:type="dxa"/>
          <w:shd w:val="clear" w:color="auto" w:fill="auto"/>
        </w:tcPr>
        <w:p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01844C21" wp14:editId="4B694CB4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918" w:rsidRDefault="00C13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1C" w:rsidRDefault="002D6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55"/>
    <w:multiLevelType w:val="hybridMultilevel"/>
    <w:tmpl w:val="A7C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5CF1827"/>
    <w:multiLevelType w:val="hybridMultilevel"/>
    <w:tmpl w:val="93603D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798D"/>
    <w:multiLevelType w:val="hybridMultilevel"/>
    <w:tmpl w:val="D08E8CCA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7674E"/>
    <w:multiLevelType w:val="hybridMultilevel"/>
    <w:tmpl w:val="F0D60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F57737"/>
    <w:multiLevelType w:val="hybridMultilevel"/>
    <w:tmpl w:val="9B0A4B9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746961"/>
    <w:multiLevelType w:val="hybridMultilevel"/>
    <w:tmpl w:val="129A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63799"/>
    <w:multiLevelType w:val="hybridMultilevel"/>
    <w:tmpl w:val="35DA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C1669"/>
    <w:multiLevelType w:val="hybridMultilevel"/>
    <w:tmpl w:val="D2F8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73123"/>
    <w:multiLevelType w:val="hybridMultilevel"/>
    <w:tmpl w:val="6F0216B4"/>
    <w:lvl w:ilvl="0" w:tplc="ECFAC408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2">
    <w:nsid w:val="41FC2941"/>
    <w:multiLevelType w:val="hybridMultilevel"/>
    <w:tmpl w:val="C33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8F74F7"/>
    <w:multiLevelType w:val="hybridMultilevel"/>
    <w:tmpl w:val="F80EDF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DB3B65"/>
    <w:multiLevelType w:val="hybridMultilevel"/>
    <w:tmpl w:val="AA2E520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9B7D3F"/>
    <w:multiLevelType w:val="hybridMultilevel"/>
    <w:tmpl w:val="4B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0FF8"/>
    <w:multiLevelType w:val="hybridMultilevel"/>
    <w:tmpl w:val="AA981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24842"/>
    <w:multiLevelType w:val="hybridMultilevel"/>
    <w:tmpl w:val="B68C9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247B7"/>
    <w:multiLevelType w:val="hybridMultilevel"/>
    <w:tmpl w:val="D19E37B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4BD6CE8"/>
    <w:multiLevelType w:val="hybridMultilevel"/>
    <w:tmpl w:val="9F54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D5569"/>
    <w:multiLevelType w:val="hybridMultilevel"/>
    <w:tmpl w:val="AF804C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12040E"/>
    <w:multiLevelType w:val="hybridMultilevel"/>
    <w:tmpl w:val="7E0E86E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295DA3"/>
    <w:multiLevelType w:val="hybridMultilevel"/>
    <w:tmpl w:val="16F63E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F46953"/>
    <w:multiLevelType w:val="hybridMultilevel"/>
    <w:tmpl w:val="BE1026C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23"/>
  </w:num>
  <w:num w:numId="6">
    <w:abstractNumId w:val="10"/>
  </w:num>
  <w:num w:numId="7">
    <w:abstractNumId w:val="20"/>
  </w:num>
  <w:num w:numId="8">
    <w:abstractNumId w:val="22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24"/>
  </w:num>
  <w:num w:numId="15">
    <w:abstractNumId w:val="4"/>
  </w:num>
  <w:num w:numId="16">
    <w:abstractNumId w:val="25"/>
  </w:num>
  <w:num w:numId="17">
    <w:abstractNumId w:val="2"/>
  </w:num>
  <w:num w:numId="18">
    <w:abstractNumId w:val="17"/>
  </w:num>
  <w:num w:numId="19">
    <w:abstractNumId w:val="6"/>
  </w:num>
  <w:num w:numId="20">
    <w:abstractNumId w:val="16"/>
  </w:num>
  <w:num w:numId="21">
    <w:abstractNumId w:val="8"/>
  </w:num>
  <w:num w:numId="22">
    <w:abstractNumId w:val="0"/>
  </w:num>
  <w:num w:numId="23">
    <w:abstractNumId w:val="21"/>
  </w:num>
  <w:num w:numId="24">
    <w:abstractNumId w:val="11"/>
  </w:num>
  <w:num w:numId="25">
    <w:abstractNumId w:val="14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6FA9"/>
    <w:rsid w:val="00027987"/>
    <w:rsid w:val="00035F71"/>
    <w:rsid w:val="00044DF1"/>
    <w:rsid w:val="00056F74"/>
    <w:rsid w:val="00063632"/>
    <w:rsid w:val="00075350"/>
    <w:rsid w:val="000D2754"/>
    <w:rsid w:val="000F52F6"/>
    <w:rsid w:val="00110E55"/>
    <w:rsid w:val="00127F04"/>
    <w:rsid w:val="00131434"/>
    <w:rsid w:val="00146B61"/>
    <w:rsid w:val="00147119"/>
    <w:rsid w:val="00150361"/>
    <w:rsid w:val="0015118E"/>
    <w:rsid w:val="00161DB6"/>
    <w:rsid w:val="00170E70"/>
    <w:rsid w:val="001B6E97"/>
    <w:rsid w:val="001D5448"/>
    <w:rsid w:val="001E4BE0"/>
    <w:rsid w:val="001F2689"/>
    <w:rsid w:val="00230DD5"/>
    <w:rsid w:val="00270EAD"/>
    <w:rsid w:val="00274CAF"/>
    <w:rsid w:val="002840B2"/>
    <w:rsid w:val="00294412"/>
    <w:rsid w:val="00296A11"/>
    <w:rsid w:val="002A26EA"/>
    <w:rsid w:val="002D661C"/>
    <w:rsid w:val="002E0B34"/>
    <w:rsid w:val="002F055B"/>
    <w:rsid w:val="00310E58"/>
    <w:rsid w:val="003143CE"/>
    <w:rsid w:val="00321489"/>
    <w:rsid w:val="00321977"/>
    <w:rsid w:val="00323825"/>
    <w:rsid w:val="003A58AC"/>
    <w:rsid w:val="003C6827"/>
    <w:rsid w:val="0042014E"/>
    <w:rsid w:val="00430C02"/>
    <w:rsid w:val="00440A19"/>
    <w:rsid w:val="004424F8"/>
    <w:rsid w:val="00444B06"/>
    <w:rsid w:val="00471A8E"/>
    <w:rsid w:val="00475A1E"/>
    <w:rsid w:val="004822B6"/>
    <w:rsid w:val="004939CF"/>
    <w:rsid w:val="004A051F"/>
    <w:rsid w:val="004D0D06"/>
    <w:rsid w:val="004E0A20"/>
    <w:rsid w:val="00505D68"/>
    <w:rsid w:val="00562D6A"/>
    <w:rsid w:val="005650C4"/>
    <w:rsid w:val="005816EB"/>
    <w:rsid w:val="005863B7"/>
    <w:rsid w:val="00590052"/>
    <w:rsid w:val="005A7985"/>
    <w:rsid w:val="005D2B28"/>
    <w:rsid w:val="005E5A44"/>
    <w:rsid w:val="006026CD"/>
    <w:rsid w:val="006112F0"/>
    <w:rsid w:val="00627921"/>
    <w:rsid w:val="00650F50"/>
    <w:rsid w:val="00657E33"/>
    <w:rsid w:val="00670611"/>
    <w:rsid w:val="006858AB"/>
    <w:rsid w:val="006943F7"/>
    <w:rsid w:val="006B5002"/>
    <w:rsid w:val="006B5F7A"/>
    <w:rsid w:val="006B784F"/>
    <w:rsid w:val="006C4E86"/>
    <w:rsid w:val="006C7247"/>
    <w:rsid w:val="007202F9"/>
    <w:rsid w:val="00724119"/>
    <w:rsid w:val="0072693F"/>
    <w:rsid w:val="00760D68"/>
    <w:rsid w:val="0076148D"/>
    <w:rsid w:val="00780237"/>
    <w:rsid w:val="0078442D"/>
    <w:rsid w:val="007908EF"/>
    <w:rsid w:val="007A6FDE"/>
    <w:rsid w:val="007B4CA0"/>
    <w:rsid w:val="007C0155"/>
    <w:rsid w:val="007D4D1B"/>
    <w:rsid w:val="007E0B50"/>
    <w:rsid w:val="00834706"/>
    <w:rsid w:val="00846827"/>
    <w:rsid w:val="008471B7"/>
    <w:rsid w:val="00854FEB"/>
    <w:rsid w:val="0086483B"/>
    <w:rsid w:val="00874DB6"/>
    <w:rsid w:val="008A57B5"/>
    <w:rsid w:val="008C366F"/>
    <w:rsid w:val="008D3288"/>
    <w:rsid w:val="008E0978"/>
    <w:rsid w:val="008E606C"/>
    <w:rsid w:val="009072E8"/>
    <w:rsid w:val="00917378"/>
    <w:rsid w:val="00946583"/>
    <w:rsid w:val="00956A80"/>
    <w:rsid w:val="00967A90"/>
    <w:rsid w:val="00971A5A"/>
    <w:rsid w:val="00974E2B"/>
    <w:rsid w:val="00980F8C"/>
    <w:rsid w:val="009A2928"/>
    <w:rsid w:val="009B0376"/>
    <w:rsid w:val="009B2E92"/>
    <w:rsid w:val="009C019D"/>
    <w:rsid w:val="009D5CA1"/>
    <w:rsid w:val="009D79DD"/>
    <w:rsid w:val="009E13FD"/>
    <w:rsid w:val="00A6144A"/>
    <w:rsid w:val="00A95B74"/>
    <w:rsid w:val="00AB52D9"/>
    <w:rsid w:val="00AB597F"/>
    <w:rsid w:val="00AD567F"/>
    <w:rsid w:val="00AD7917"/>
    <w:rsid w:val="00AF32A0"/>
    <w:rsid w:val="00B03FA0"/>
    <w:rsid w:val="00B23C7E"/>
    <w:rsid w:val="00B47F55"/>
    <w:rsid w:val="00B666E6"/>
    <w:rsid w:val="00B754CA"/>
    <w:rsid w:val="00BC301F"/>
    <w:rsid w:val="00BE0FFB"/>
    <w:rsid w:val="00C13918"/>
    <w:rsid w:val="00C20154"/>
    <w:rsid w:val="00C20521"/>
    <w:rsid w:val="00C80961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23A35"/>
    <w:rsid w:val="00D31690"/>
    <w:rsid w:val="00D31B39"/>
    <w:rsid w:val="00D36B7D"/>
    <w:rsid w:val="00D544D8"/>
    <w:rsid w:val="00D57427"/>
    <w:rsid w:val="00D7536D"/>
    <w:rsid w:val="00D803F9"/>
    <w:rsid w:val="00DA0628"/>
    <w:rsid w:val="00DA0E03"/>
    <w:rsid w:val="00DE1458"/>
    <w:rsid w:val="00E0176D"/>
    <w:rsid w:val="00E041B6"/>
    <w:rsid w:val="00E13F72"/>
    <w:rsid w:val="00E275C3"/>
    <w:rsid w:val="00E37F0F"/>
    <w:rsid w:val="00E92B04"/>
    <w:rsid w:val="00E97CCA"/>
    <w:rsid w:val="00EA0A6B"/>
    <w:rsid w:val="00EC29AB"/>
    <w:rsid w:val="00EC2E0D"/>
    <w:rsid w:val="00ED278C"/>
    <w:rsid w:val="00EE432C"/>
    <w:rsid w:val="00EE5BE8"/>
    <w:rsid w:val="00EF5A96"/>
    <w:rsid w:val="00F03E8F"/>
    <w:rsid w:val="00F05D59"/>
    <w:rsid w:val="00F31AC2"/>
    <w:rsid w:val="00F63930"/>
    <w:rsid w:val="00F65813"/>
    <w:rsid w:val="00F70642"/>
    <w:rsid w:val="00F727D0"/>
    <w:rsid w:val="00F82D21"/>
    <w:rsid w:val="00F85B18"/>
    <w:rsid w:val="00F97A81"/>
    <w:rsid w:val="00FB1D81"/>
    <w:rsid w:val="00FD1672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26B7-E073-45FE-9DF8-C991628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6</cp:revision>
  <cp:lastPrinted>2014-05-22T13:09:00Z</cp:lastPrinted>
  <dcterms:created xsi:type="dcterms:W3CDTF">2014-07-17T14:33:00Z</dcterms:created>
  <dcterms:modified xsi:type="dcterms:W3CDTF">2014-07-21T10:54:00Z</dcterms:modified>
</cp:coreProperties>
</file>