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CFDA" w14:textId="63FCAC76" w:rsidR="00244DD1" w:rsidRDefault="002748FC" w:rsidP="0059286A">
      <w:pPr>
        <w:pStyle w:val="Heading1"/>
        <w:ind w:left="0"/>
      </w:pPr>
      <w:r w:rsidRPr="002748FC">
        <w:t xml:space="preserve">Method Statement </w:t>
      </w:r>
      <w:r>
        <w:t>-</w:t>
      </w:r>
      <w:r w:rsidRPr="002748FC">
        <w:t xml:space="preserve"> Existing Pipe Replacement, Old for New</w:t>
      </w:r>
    </w:p>
    <w:p w14:paraId="6F711F3A" w14:textId="61C7F7A5" w:rsidR="00DD76C6" w:rsidRDefault="00DD76C6" w:rsidP="009E0141">
      <w:pPr>
        <w:ind w:left="0"/>
      </w:pPr>
    </w:p>
    <w:tbl>
      <w:tblPr>
        <w:tblStyle w:val="TableGrid"/>
        <w:tblW w:w="5000" w:type="pct"/>
        <w:tblLook w:val="04A0" w:firstRow="1" w:lastRow="0" w:firstColumn="1" w:lastColumn="0" w:noHBand="0" w:noVBand="1"/>
      </w:tblPr>
      <w:tblGrid>
        <w:gridCol w:w="10420"/>
      </w:tblGrid>
      <w:tr w:rsidR="00073771" w14:paraId="73CB7332" w14:textId="77777777" w:rsidTr="00794880">
        <w:tc>
          <w:tcPr>
            <w:tcW w:w="5000" w:type="pct"/>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94676B1" w14:textId="77777777" w:rsidR="00073771" w:rsidRPr="002748FC" w:rsidRDefault="00073771" w:rsidP="004C587D">
            <w:pPr>
              <w:pStyle w:val="ListParagraph"/>
              <w:numPr>
                <w:ilvl w:val="0"/>
                <w:numId w:val="1"/>
              </w:numPr>
              <w:spacing w:before="240"/>
              <w:ind w:left="644" w:hanging="348"/>
              <w:rPr>
                <w:b/>
                <w:bCs/>
                <w:sz w:val="28"/>
                <w:szCs w:val="28"/>
              </w:rPr>
            </w:pPr>
            <w:r w:rsidRPr="002748FC">
              <w:rPr>
                <w:b/>
                <w:bCs/>
                <w:sz w:val="28"/>
                <w:szCs w:val="28"/>
              </w:rPr>
              <w:t>Intent and Introduction</w:t>
            </w:r>
          </w:p>
          <w:p w14:paraId="3F4431ED" w14:textId="77777777" w:rsidR="00073771" w:rsidRPr="002748FC" w:rsidRDefault="00073771" w:rsidP="00073771"/>
          <w:p w14:paraId="6CA0E704" w14:textId="4E8C799D" w:rsidR="00073771" w:rsidRDefault="00073771" w:rsidP="004C587D">
            <w:pPr>
              <w:spacing w:after="240"/>
              <w:ind w:left="296" w:right="275"/>
            </w:pPr>
            <w:r w:rsidRPr="002748FC">
              <w:t>The method statement is for proposed works</w:t>
            </w:r>
            <w:r>
              <w:t>.  This is purely a method statement for works and is not a risk assessment, please see attached and risk assessment for related hazards and controls.  Please note it is the responsibility of the proprietor / person responsible for works to ensure that there are no other hazards introduced from their own acts or omissions, or some others instructed by them.  It is the responsibility of the supervisor to ensure that this method statement is adhered to and works must be halted if any hazards or risks occur but have not been suitably controlled</w:t>
            </w:r>
            <w:r w:rsidR="00EB1FEF">
              <w:t>.</w:t>
            </w:r>
          </w:p>
        </w:tc>
      </w:tr>
    </w:tbl>
    <w:p w14:paraId="5B77580B" w14:textId="77777777" w:rsidR="00405838" w:rsidRDefault="00405838" w:rsidP="00405838"/>
    <w:tbl>
      <w:tblPr>
        <w:tblStyle w:val="TableGrid"/>
        <w:tblW w:w="5000" w:type="pct"/>
        <w:tblLook w:val="04A0" w:firstRow="1" w:lastRow="0" w:firstColumn="1" w:lastColumn="0" w:noHBand="0" w:noVBand="1"/>
      </w:tblPr>
      <w:tblGrid>
        <w:gridCol w:w="10420"/>
      </w:tblGrid>
      <w:tr w:rsidR="00405838" w14:paraId="19D65F30" w14:textId="77777777" w:rsidTr="00794880">
        <w:tc>
          <w:tcPr>
            <w:tcW w:w="5000" w:type="pct"/>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C79883F" w14:textId="491856A4" w:rsidR="00405838" w:rsidRPr="002748FC" w:rsidRDefault="00405838" w:rsidP="004C587D">
            <w:pPr>
              <w:pStyle w:val="ListParagraph"/>
              <w:numPr>
                <w:ilvl w:val="0"/>
                <w:numId w:val="1"/>
              </w:numPr>
              <w:spacing w:before="240"/>
              <w:ind w:left="644" w:hanging="348"/>
              <w:rPr>
                <w:b/>
                <w:bCs/>
                <w:sz w:val="28"/>
                <w:szCs w:val="28"/>
              </w:rPr>
            </w:pPr>
            <w:r>
              <w:rPr>
                <w:b/>
                <w:bCs/>
                <w:sz w:val="28"/>
                <w:szCs w:val="28"/>
              </w:rPr>
              <w:t>Location</w:t>
            </w:r>
          </w:p>
          <w:p w14:paraId="2D6CA218" w14:textId="77777777" w:rsidR="00405838" w:rsidRPr="002748FC" w:rsidRDefault="00405838" w:rsidP="001D6ADB"/>
          <w:p w14:paraId="3B9337F4" w14:textId="65AC86E3" w:rsidR="00405838" w:rsidRDefault="00405838" w:rsidP="004C587D">
            <w:pPr>
              <w:spacing w:after="240"/>
              <w:ind w:left="296" w:right="275"/>
            </w:pPr>
            <w:r>
              <w:t>Houses of Parliament, Elizabeth Tower Lift Shaft, Westminster, SW1A.</w:t>
            </w:r>
          </w:p>
        </w:tc>
      </w:tr>
    </w:tbl>
    <w:p w14:paraId="37F95F8B" w14:textId="77777777" w:rsidR="0059286A" w:rsidRDefault="0059286A" w:rsidP="0059286A"/>
    <w:tbl>
      <w:tblPr>
        <w:tblStyle w:val="TableGrid"/>
        <w:tblW w:w="5000" w:type="pct"/>
        <w:tblLook w:val="04A0" w:firstRow="1" w:lastRow="0" w:firstColumn="1" w:lastColumn="0" w:noHBand="0" w:noVBand="1"/>
      </w:tblPr>
      <w:tblGrid>
        <w:gridCol w:w="10420"/>
      </w:tblGrid>
      <w:tr w:rsidR="0059286A" w14:paraId="7E2CF4AC" w14:textId="77777777" w:rsidTr="00794880">
        <w:tc>
          <w:tcPr>
            <w:tcW w:w="5000" w:type="pct"/>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4D3383A" w14:textId="7F08DE03" w:rsidR="0059286A" w:rsidRPr="002748FC" w:rsidRDefault="0059286A" w:rsidP="004C587D">
            <w:pPr>
              <w:pStyle w:val="ListParagraph"/>
              <w:numPr>
                <w:ilvl w:val="0"/>
                <w:numId w:val="1"/>
              </w:numPr>
              <w:spacing w:before="240"/>
              <w:ind w:left="644" w:hanging="348"/>
              <w:rPr>
                <w:b/>
                <w:bCs/>
                <w:sz w:val="28"/>
                <w:szCs w:val="28"/>
              </w:rPr>
            </w:pPr>
            <w:r>
              <w:rPr>
                <w:b/>
                <w:bCs/>
                <w:sz w:val="28"/>
                <w:szCs w:val="28"/>
              </w:rPr>
              <w:t>Description of Work</w:t>
            </w:r>
          </w:p>
          <w:p w14:paraId="6620F604" w14:textId="77777777" w:rsidR="0059286A" w:rsidRPr="002748FC" w:rsidRDefault="0059286A" w:rsidP="001D6ADB"/>
          <w:p w14:paraId="7C2CB8AB" w14:textId="77777777" w:rsidR="0059286A" w:rsidRDefault="0059286A" w:rsidP="004C587D">
            <w:pPr>
              <w:ind w:left="296" w:right="275"/>
            </w:pPr>
            <w:r>
              <w:t xml:space="preserve">To undertake and supply materials, equipment and </w:t>
            </w:r>
            <w:proofErr w:type="spellStart"/>
            <w:r>
              <w:t>labour</w:t>
            </w:r>
            <w:proofErr w:type="spellEnd"/>
            <w:r>
              <w:t xml:space="preserve"> to connect 1 x existing 100mm cast iron pipe to 1 x existing 255mm pipe.  All works may be weather reliant.  Forecast reports shall be obtained and no works shall commence if weather causes uncontrollable hazards.</w:t>
            </w:r>
          </w:p>
          <w:p w14:paraId="5AB57088" w14:textId="77777777" w:rsidR="0059286A" w:rsidRDefault="0059286A" w:rsidP="0059286A">
            <w:pPr>
              <w:ind w:left="644" w:hanging="425"/>
            </w:pPr>
          </w:p>
          <w:p w14:paraId="7DAAE758" w14:textId="77777777" w:rsidR="0059286A" w:rsidRDefault="0059286A" w:rsidP="004C587D">
            <w:pPr>
              <w:pStyle w:val="ListParagraph"/>
              <w:numPr>
                <w:ilvl w:val="0"/>
                <w:numId w:val="2"/>
              </w:numPr>
              <w:ind w:left="644" w:right="275" w:hanging="348"/>
            </w:pPr>
            <w:r>
              <w:t>On arrival to site, all A1 Wet Waste Ltd employees must report to the prearranged meeting point (Site Office)</w:t>
            </w:r>
          </w:p>
          <w:p w14:paraId="2AEF49DA" w14:textId="4F2CF714" w:rsidR="0059286A" w:rsidRDefault="004618F7" w:rsidP="004C587D">
            <w:pPr>
              <w:pStyle w:val="ListParagraph"/>
              <w:numPr>
                <w:ilvl w:val="0"/>
                <w:numId w:val="2"/>
              </w:numPr>
              <w:ind w:left="644" w:right="275" w:hanging="348"/>
            </w:pPr>
            <w:r>
              <w:t>All A1 Wet Waste Ltd employees will undergo a site induction at 08:00am.  All site rules will be understood adhered to</w:t>
            </w:r>
          </w:p>
          <w:p w14:paraId="1CDFB7C2" w14:textId="77777777" w:rsidR="004618F7" w:rsidRDefault="004618F7" w:rsidP="004C587D">
            <w:pPr>
              <w:pStyle w:val="ListParagraph"/>
              <w:numPr>
                <w:ilvl w:val="0"/>
                <w:numId w:val="2"/>
              </w:numPr>
              <w:ind w:left="644" w:right="275" w:hanging="348"/>
            </w:pPr>
            <w:r>
              <w:t>A1 Wet Waste Ltd employees are reminded of the dangers of work on site.  See generate risk assessment “Working on Site”</w:t>
            </w:r>
          </w:p>
          <w:p w14:paraId="1D7B29DE" w14:textId="77777777" w:rsidR="004618F7" w:rsidRDefault="004618F7" w:rsidP="004C587D">
            <w:pPr>
              <w:pStyle w:val="ListParagraph"/>
              <w:numPr>
                <w:ilvl w:val="0"/>
                <w:numId w:val="2"/>
              </w:numPr>
              <w:ind w:left="644" w:right="275" w:hanging="348"/>
            </w:pPr>
            <w:r>
              <w:t xml:space="preserve">Site will be under the control of the appointed site supervisor (Interserve: David Nash – 07553 376112) whose instructions will be obeyed at all </w:t>
            </w:r>
            <w:proofErr w:type="gramStart"/>
            <w:r>
              <w:t>times</w:t>
            </w:r>
            <w:proofErr w:type="gramEnd"/>
          </w:p>
          <w:p w14:paraId="001C6DCD" w14:textId="77777777" w:rsidR="004618F7" w:rsidRDefault="004618F7" w:rsidP="004C587D">
            <w:pPr>
              <w:pStyle w:val="ListParagraph"/>
              <w:numPr>
                <w:ilvl w:val="0"/>
                <w:numId w:val="2"/>
              </w:numPr>
              <w:ind w:left="644" w:right="275" w:hanging="348"/>
            </w:pPr>
            <w:r>
              <w:t>An on-site risk assessment will be carried out by the site supervisor and a representative for the Houses of Parliament.  Any changes from the site risk assessment will be noted and appropriate measures taken to control risks identified.  If site safe with all control measures in place work may commence. If site unsafe with all control measures in place work must be abandoned until risks assessed an additional control measures put in place</w:t>
            </w:r>
          </w:p>
          <w:p w14:paraId="29FBE1C3" w14:textId="77777777" w:rsidR="004618F7" w:rsidRDefault="004618F7" w:rsidP="004C587D">
            <w:pPr>
              <w:pStyle w:val="ListParagraph"/>
              <w:numPr>
                <w:ilvl w:val="0"/>
                <w:numId w:val="2"/>
              </w:numPr>
              <w:ind w:left="644" w:right="275" w:hanging="348"/>
            </w:pPr>
            <w:r>
              <w:t>Work will not commence until procedure 5 is completed.  If risks cannot be controlled works must be abandoned until appropriate control measures in place and works safe to continue</w:t>
            </w:r>
          </w:p>
          <w:p w14:paraId="1AE49B02" w14:textId="77777777" w:rsidR="004618F7" w:rsidRDefault="004618F7" w:rsidP="004C587D">
            <w:pPr>
              <w:pStyle w:val="ListParagraph"/>
              <w:numPr>
                <w:ilvl w:val="0"/>
                <w:numId w:val="2"/>
              </w:numPr>
              <w:ind w:left="644" w:right="275" w:hanging="348"/>
            </w:pPr>
            <w:r>
              <w:t>Safer access will be made to the point of works.  All site safety rules will be followed throughout the operations including access and egress to a point of works</w:t>
            </w:r>
          </w:p>
          <w:p w14:paraId="5F0CCFE9" w14:textId="527B17C2" w:rsidR="00BF571E" w:rsidRDefault="008931DF" w:rsidP="00933987">
            <w:pPr>
              <w:pStyle w:val="ListParagraph"/>
              <w:numPr>
                <w:ilvl w:val="0"/>
                <w:numId w:val="2"/>
              </w:numPr>
              <w:ind w:right="275"/>
            </w:pPr>
            <w:r>
              <w:t xml:space="preserve">Locate area of work unload the equipment following the correct Manual handling </w:t>
            </w:r>
            <w:proofErr w:type="spellStart"/>
            <w:r>
              <w:t>procedureOperations</w:t>
            </w:r>
            <w:proofErr w:type="spellEnd"/>
            <w:r>
              <w:t xml:space="preserve"> may now start</w:t>
            </w:r>
          </w:p>
          <w:p w14:paraId="76BF87D8" w14:textId="22DB0400" w:rsidR="008931DF" w:rsidRDefault="008931DF" w:rsidP="00BF571E">
            <w:pPr>
              <w:pStyle w:val="ListParagraph"/>
              <w:numPr>
                <w:ilvl w:val="0"/>
                <w:numId w:val="2"/>
              </w:numPr>
              <w:ind w:left="644" w:right="275" w:hanging="348"/>
            </w:pPr>
            <w:r>
              <w:t>Existing pipe removal will be undertaken, and equipment will be set up and/or lowered to the ground.  Replacement pipe installation will then take place</w:t>
            </w:r>
          </w:p>
          <w:p w14:paraId="697ADC17" w14:textId="77777777" w:rsidR="008931DF" w:rsidRDefault="008931DF" w:rsidP="004C587D">
            <w:pPr>
              <w:pStyle w:val="ListParagraph"/>
              <w:numPr>
                <w:ilvl w:val="0"/>
                <w:numId w:val="2"/>
              </w:numPr>
              <w:ind w:left="644" w:right="275" w:hanging="348"/>
            </w:pPr>
            <w:r>
              <w:t>Or equipment used for operations will be lowered or raised, not carried down</w:t>
            </w:r>
          </w:p>
          <w:p w14:paraId="6692D473" w14:textId="77777777" w:rsidR="008931DF" w:rsidRDefault="008931DF" w:rsidP="004C587D">
            <w:pPr>
              <w:pStyle w:val="ListParagraph"/>
              <w:numPr>
                <w:ilvl w:val="0"/>
                <w:numId w:val="2"/>
              </w:numPr>
              <w:ind w:left="644" w:right="275" w:hanging="348"/>
            </w:pPr>
            <w:r>
              <w:t>On completion of the works</w:t>
            </w:r>
          </w:p>
          <w:p w14:paraId="56F5040D" w14:textId="77777777" w:rsidR="008931DF" w:rsidRDefault="008931DF" w:rsidP="004C587D">
            <w:pPr>
              <w:pStyle w:val="ListParagraph"/>
              <w:numPr>
                <w:ilvl w:val="0"/>
                <w:numId w:val="2"/>
              </w:numPr>
              <w:ind w:left="644" w:right="275" w:hanging="348"/>
            </w:pPr>
            <w:r>
              <w:t xml:space="preserve">Ensure all equipment is checked, cleaned and stowed </w:t>
            </w:r>
            <w:proofErr w:type="gramStart"/>
            <w:r>
              <w:t>away</w:t>
            </w:r>
            <w:proofErr w:type="gramEnd"/>
          </w:p>
          <w:p w14:paraId="1B049BB9" w14:textId="20F33F2D" w:rsidR="008931DF" w:rsidRDefault="008931DF" w:rsidP="004C587D">
            <w:pPr>
              <w:pStyle w:val="ListParagraph"/>
              <w:numPr>
                <w:ilvl w:val="0"/>
                <w:numId w:val="2"/>
              </w:numPr>
              <w:ind w:left="644" w:right="275" w:hanging="348"/>
            </w:pPr>
            <w:r>
              <w:lastRenderedPageBreak/>
              <w:t>When safe to do so ensure covers, pipes are replaced, barriers removed, the work area cleaned and disinfected, and the site is left in a safe condition</w:t>
            </w:r>
          </w:p>
          <w:p w14:paraId="198AD57E" w14:textId="4A4140C1" w:rsidR="008931DF" w:rsidRDefault="008931DF" w:rsidP="004C587D">
            <w:pPr>
              <w:pStyle w:val="ListParagraph"/>
              <w:numPr>
                <w:ilvl w:val="0"/>
                <w:numId w:val="2"/>
              </w:numPr>
              <w:spacing w:after="240"/>
              <w:ind w:left="644" w:right="275" w:hanging="348"/>
            </w:pPr>
            <w:r>
              <w:t xml:space="preserve">Report any defects, </w:t>
            </w:r>
            <w:proofErr w:type="gramStart"/>
            <w:r>
              <w:t>faults</w:t>
            </w:r>
            <w:proofErr w:type="gramEnd"/>
            <w:r>
              <w:t xml:space="preserve"> or operational problems immediately to your supervisor</w:t>
            </w:r>
          </w:p>
        </w:tc>
      </w:tr>
    </w:tbl>
    <w:p w14:paraId="7B5B814E" w14:textId="77777777" w:rsidR="008931DF" w:rsidRDefault="008931DF" w:rsidP="008931DF"/>
    <w:tbl>
      <w:tblPr>
        <w:tblStyle w:val="TableGrid"/>
        <w:tblW w:w="5000" w:type="pct"/>
        <w:tblLook w:val="04A0" w:firstRow="1" w:lastRow="0" w:firstColumn="1" w:lastColumn="0" w:noHBand="0" w:noVBand="1"/>
      </w:tblPr>
      <w:tblGrid>
        <w:gridCol w:w="10420"/>
      </w:tblGrid>
      <w:tr w:rsidR="008931DF" w14:paraId="5CB2CFEE" w14:textId="77777777" w:rsidTr="001D6ADB">
        <w:tc>
          <w:tcPr>
            <w:tcW w:w="5000" w:type="pct"/>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07C7A10" w14:textId="4360CC69" w:rsidR="008931DF" w:rsidRPr="002748FC" w:rsidRDefault="008931DF" w:rsidP="004C587D">
            <w:pPr>
              <w:pStyle w:val="ListParagraph"/>
              <w:numPr>
                <w:ilvl w:val="0"/>
                <w:numId w:val="1"/>
              </w:numPr>
              <w:spacing w:before="240"/>
              <w:ind w:left="644" w:hanging="348"/>
              <w:rPr>
                <w:b/>
                <w:bCs/>
                <w:sz w:val="28"/>
                <w:szCs w:val="28"/>
              </w:rPr>
            </w:pPr>
            <w:r>
              <w:rPr>
                <w:b/>
                <w:bCs/>
                <w:sz w:val="28"/>
                <w:szCs w:val="28"/>
              </w:rPr>
              <w:t>Plant and Equipment</w:t>
            </w:r>
          </w:p>
          <w:p w14:paraId="42635A81" w14:textId="77777777" w:rsidR="008931DF" w:rsidRPr="002748FC" w:rsidRDefault="008931DF" w:rsidP="001D6ADB"/>
          <w:p w14:paraId="23810158" w14:textId="77777777" w:rsidR="008931DF" w:rsidRDefault="008931DF" w:rsidP="004C587D">
            <w:pPr>
              <w:pStyle w:val="ListParagraph"/>
              <w:numPr>
                <w:ilvl w:val="0"/>
                <w:numId w:val="3"/>
              </w:numPr>
              <w:ind w:left="579" w:right="275" w:hanging="283"/>
            </w:pPr>
            <w:r>
              <w:t>Gas detectors</w:t>
            </w:r>
          </w:p>
          <w:p w14:paraId="7825D6B3" w14:textId="77777777" w:rsidR="008931DF" w:rsidRDefault="008931DF" w:rsidP="004C587D">
            <w:pPr>
              <w:pStyle w:val="ListParagraph"/>
              <w:numPr>
                <w:ilvl w:val="0"/>
                <w:numId w:val="3"/>
              </w:numPr>
              <w:ind w:left="579" w:right="275" w:hanging="283"/>
            </w:pPr>
            <w:r>
              <w:t>Operations equipment (110V Electric Saw)</w:t>
            </w:r>
          </w:p>
          <w:p w14:paraId="62EBF72D" w14:textId="77777777" w:rsidR="008931DF" w:rsidRDefault="008931DF" w:rsidP="004C587D">
            <w:pPr>
              <w:pStyle w:val="ListParagraph"/>
              <w:numPr>
                <w:ilvl w:val="0"/>
                <w:numId w:val="3"/>
              </w:numPr>
              <w:ind w:left="579" w:right="275" w:hanging="283"/>
            </w:pPr>
            <w:r>
              <w:t>A1 Wet Waste vehicle</w:t>
            </w:r>
          </w:p>
          <w:p w14:paraId="4BE655A7" w14:textId="77777777" w:rsidR="008931DF" w:rsidRDefault="008931DF" w:rsidP="004C587D">
            <w:pPr>
              <w:pStyle w:val="ListParagraph"/>
              <w:numPr>
                <w:ilvl w:val="0"/>
                <w:numId w:val="3"/>
              </w:numPr>
              <w:ind w:left="579" w:right="275" w:hanging="283"/>
            </w:pPr>
            <w:r>
              <w:t>First aid kit</w:t>
            </w:r>
          </w:p>
          <w:p w14:paraId="327A0560" w14:textId="77777777" w:rsidR="008931DF" w:rsidRDefault="008931DF" w:rsidP="004C587D">
            <w:pPr>
              <w:pStyle w:val="ListParagraph"/>
              <w:numPr>
                <w:ilvl w:val="0"/>
                <w:numId w:val="3"/>
              </w:numPr>
              <w:ind w:left="579" w:right="275" w:hanging="283"/>
            </w:pPr>
            <w:r>
              <w:t>Portable exterior lighting (if required)</w:t>
            </w:r>
          </w:p>
          <w:p w14:paraId="05CB76F1" w14:textId="77777777" w:rsidR="008931DF" w:rsidRDefault="008931DF" w:rsidP="004C587D">
            <w:pPr>
              <w:pStyle w:val="ListParagraph"/>
              <w:numPr>
                <w:ilvl w:val="0"/>
                <w:numId w:val="3"/>
              </w:numPr>
              <w:ind w:left="579" w:right="275" w:hanging="283"/>
            </w:pPr>
            <w:r>
              <w:t>Appropriate lighting (intrinsically safe head/hand lamps when required)</w:t>
            </w:r>
          </w:p>
          <w:p w14:paraId="7893E486" w14:textId="699EAA3B" w:rsidR="008931DF" w:rsidRDefault="008931DF" w:rsidP="004C587D">
            <w:pPr>
              <w:pStyle w:val="ListParagraph"/>
              <w:numPr>
                <w:ilvl w:val="0"/>
                <w:numId w:val="3"/>
              </w:numPr>
              <w:spacing w:after="240"/>
              <w:ind w:left="579" w:right="275" w:hanging="283"/>
            </w:pPr>
            <w:r>
              <w:t>PPE</w:t>
            </w:r>
          </w:p>
        </w:tc>
      </w:tr>
    </w:tbl>
    <w:p w14:paraId="41FCDFE2" w14:textId="77777777" w:rsidR="008931DF" w:rsidRDefault="008931DF" w:rsidP="008931DF"/>
    <w:tbl>
      <w:tblPr>
        <w:tblStyle w:val="TableGrid"/>
        <w:tblW w:w="5000" w:type="pct"/>
        <w:tblLook w:val="04A0" w:firstRow="1" w:lastRow="0" w:firstColumn="1" w:lastColumn="0" w:noHBand="0" w:noVBand="1"/>
      </w:tblPr>
      <w:tblGrid>
        <w:gridCol w:w="10420"/>
      </w:tblGrid>
      <w:tr w:rsidR="008931DF" w14:paraId="5CEBCC42" w14:textId="77777777" w:rsidTr="001D6ADB">
        <w:tc>
          <w:tcPr>
            <w:tcW w:w="5000" w:type="pct"/>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D25AD3B" w14:textId="7724A7DD" w:rsidR="008931DF" w:rsidRPr="002748FC" w:rsidRDefault="008931DF" w:rsidP="004C587D">
            <w:pPr>
              <w:pStyle w:val="ListParagraph"/>
              <w:numPr>
                <w:ilvl w:val="0"/>
                <w:numId w:val="1"/>
              </w:numPr>
              <w:spacing w:before="240"/>
              <w:ind w:left="644" w:hanging="348"/>
              <w:rPr>
                <w:b/>
                <w:bCs/>
                <w:sz w:val="28"/>
                <w:szCs w:val="28"/>
              </w:rPr>
            </w:pPr>
            <w:r>
              <w:rPr>
                <w:b/>
                <w:bCs/>
                <w:sz w:val="28"/>
                <w:szCs w:val="28"/>
              </w:rPr>
              <w:t>Related Documentation and Assessments</w:t>
            </w:r>
          </w:p>
          <w:p w14:paraId="497378E4" w14:textId="77777777" w:rsidR="008931DF" w:rsidRPr="002748FC" w:rsidRDefault="008931DF" w:rsidP="001D6ADB"/>
          <w:p w14:paraId="6CC4BC11" w14:textId="77777777" w:rsidR="008931DF" w:rsidRDefault="008931DF" w:rsidP="008931DF">
            <w:pPr>
              <w:pStyle w:val="ListParagraph"/>
              <w:numPr>
                <w:ilvl w:val="0"/>
                <w:numId w:val="3"/>
              </w:numPr>
              <w:ind w:left="579" w:hanging="283"/>
            </w:pPr>
            <w:r>
              <w:t>Site specific Risk Assessment</w:t>
            </w:r>
          </w:p>
          <w:p w14:paraId="1F0EE9D7" w14:textId="77777777" w:rsidR="008931DF" w:rsidRDefault="00BA21B6" w:rsidP="008931DF">
            <w:pPr>
              <w:pStyle w:val="ListParagraph"/>
              <w:numPr>
                <w:ilvl w:val="0"/>
                <w:numId w:val="3"/>
              </w:numPr>
              <w:ind w:left="579" w:hanging="283"/>
            </w:pPr>
            <w:r>
              <w:t>All generic Risk Assessments</w:t>
            </w:r>
          </w:p>
          <w:p w14:paraId="2AAE11A7" w14:textId="58E24C06" w:rsidR="00BA21B6" w:rsidRDefault="00BA21B6" w:rsidP="008931DF">
            <w:pPr>
              <w:pStyle w:val="ListParagraph"/>
              <w:numPr>
                <w:ilvl w:val="0"/>
                <w:numId w:val="3"/>
              </w:numPr>
              <w:ind w:left="579" w:hanging="283"/>
            </w:pPr>
            <w:r>
              <w:t>Safety at street works and road works Code of Practice</w:t>
            </w:r>
          </w:p>
          <w:p w14:paraId="6182405B" w14:textId="537275DA" w:rsidR="00BA21B6" w:rsidRDefault="00BA21B6" w:rsidP="00BA21B6">
            <w:pPr>
              <w:pStyle w:val="ListParagraph"/>
              <w:numPr>
                <w:ilvl w:val="0"/>
                <w:numId w:val="3"/>
              </w:numPr>
              <w:spacing w:after="240"/>
              <w:ind w:left="579" w:hanging="283"/>
            </w:pPr>
            <w:r>
              <w:t>Health and Safety and Environmental Policy</w:t>
            </w:r>
          </w:p>
        </w:tc>
      </w:tr>
    </w:tbl>
    <w:p w14:paraId="7642367C" w14:textId="77777777" w:rsidR="00BA21B6" w:rsidRDefault="00BA21B6" w:rsidP="00BA21B6"/>
    <w:tbl>
      <w:tblPr>
        <w:tblStyle w:val="TableGrid"/>
        <w:tblW w:w="5000" w:type="pct"/>
        <w:tblLook w:val="04A0" w:firstRow="1" w:lastRow="0" w:firstColumn="1" w:lastColumn="0" w:noHBand="0" w:noVBand="1"/>
      </w:tblPr>
      <w:tblGrid>
        <w:gridCol w:w="10420"/>
      </w:tblGrid>
      <w:tr w:rsidR="00BA21B6" w14:paraId="711E1990" w14:textId="77777777" w:rsidTr="001D6ADB">
        <w:tc>
          <w:tcPr>
            <w:tcW w:w="5000" w:type="pct"/>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5312550" w14:textId="12CCF2E4" w:rsidR="00BA21B6" w:rsidRPr="002748FC" w:rsidRDefault="00BA21B6" w:rsidP="004C587D">
            <w:pPr>
              <w:pStyle w:val="ListParagraph"/>
              <w:numPr>
                <w:ilvl w:val="0"/>
                <w:numId w:val="1"/>
              </w:numPr>
              <w:spacing w:before="240"/>
              <w:ind w:left="644" w:hanging="348"/>
              <w:rPr>
                <w:b/>
                <w:bCs/>
                <w:sz w:val="28"/>
                <w:szCs w:val="28"/>
              </w:rPr>
            </w:pPr>
            <w:r>
              <w:rPr>
                <w:b/>
                <w:bCs/>
                <w:sz w:val="28"/>
                <w:szCs w:val="28"/>
              </w:rPr>
              <w:t>Location and Protection of any Services/Facilities Affected by Works</w:t>
            </w:r>
          </w:p>
          <w:p w14:paraId="2971480E" w14:textId="77777777" w:rsidR="00BA21B6" w:rsidRPr="002748FC" w:rsidRDefault="00BA21B6" w:rsidP="001D6ADB"/>
          <w:p w14:paraId="2F6281E6" w14:textId="614173B6" w:rsidR="00BA21B6" w:rsidRDefault="00BA21B6" w:rsidP="00BA21B6">
            <w:pPr>
              <w:pStyle w:val="ListParagraph"/>
              <w:numPr>
                <w:ilvl w:val="0"/>
                <w:numId w:val="3"/>
              </w:numPr>
              <w:spacing w:after="240"/>
              <w:ind w:left="579" w:hanging="283"/>
            </w:pPr>
            <w:r>
              <w:t>Customer to advise prior to work commencing</w:t>
            </w:r>
          </w:p>
        </w:tc>
      </w:tr>
    </w:tbl>
    <w:p w14:paraId="7826727B" w14:textId="77777777" w:rsidR="00BA21B6" w:rsidRDefault="00BA21B6" w:rsidP="00BA21B6"/>
    <w:tbl>
      <w:tblPr>
        <w:tblStyle w:val="TableGrid"/>
        <w:tblW w:w="5000" w:type="pct"/>
        <w:tblLook w:val="04A0" w:firstRow="1" w:lastRow="0" w:firstColumn="1" w:lastColumn="0" w:noHBand="0" w:noVBand="1"/>
      </w:tblPr>
      <w:tblGrid>
        <w:gridCol w:w="10420"/>
      </w:tblGrid>
      <w:tr w:rsidR="00BA21B6" w14:paraId="285A4DE6" w14:textId="77777777" w:rsidTr="001D6ADB">
        <w:tc>
          <w:tcPr>
            <w:tcW w:w="5000" w:type="pct"/>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602DE0E" w14:textId="581EA34A" w:rsidR="00BA21B6" w:rsidRPr="002748FC" w:rsidRDefault="00BA21B6" w:rsidP="004C587D">
            <w:pPr>
              <w:pStyle w:val="ListParagraph"/>
              <w:numPr>
                <w:ilvl w:val="0"/>
                <w:numId w:val="1"/>
              </w:numPr>
              <w:spacing w:before="240"/>
              <w:ind w:left="644" w:hanging="348"/>
              <w:rPr>
                <w:b/>
                <w:bCs/>
                <w:sz w:val="28"/>
                <w:szCs w:val="28"/>
              </w:rPr>
            </w:pPr>
            <w:r>
              <w:rPr>
                <w:b/>
                <w:bCs/>
                <w:sz w:val="28"/>
                <w:szCs w:val="28"/>
              </w:rPr>
              <w:t>Foreseeable Adverse Effects and their Control</w:t>
            </w:r>
          </w:p>
          <w:p w14:paraId="670DA536" w14:textId="77777777" w:rsidR="00BA21B6" w:rsidRPr="002748FC" w:rsidRDefault="00BA21B6" w:rsidP="001D6ADB"/>
          <w:p w14:paraId="65CC8C37" w14:textId="233D963D" w:rsidR="00BA21B6" w:rsidRDefault="00BA21B6" w:rsidP="00BA21B6">
            <w:pPr>
              <w:pStyle w:val="ListParagraph"/>
              <w:numPr>
                <w:ilvl w:val="0"/>
                <w:numId w:val="3"/>
              </w:numPr>
              <w:ind w:left="579" w:hanging="283"/>
            </w:pPr>
            <w:r>
              <w:t>Member of the public, shop and office staff, other works personnel</w:t>
            </w:r>
          </w:p>
          <w:p w14:paraId="1187F8A3" w14:textId="2823076D" w:rsidR="00BA21B6" w:rsidRDefault="00BA21B6" w:rsidP="00BA21B6">
            <w:pPr>
              <w:pStyle w:val="ListParagraph"/>
              <w:numPr>
                <w:ilvl w:val="0"/>
                <w:numId w:val="3"/>
              </w:numPr>
              <w:spacing w:after="240"/>
              <w:ind w:left="579" w:hanging="283"/>
            </w:pPr>
            <w:r>
              <w:t>Weather conditions: control weather forecast must be obtained before any works commences</w:t>
            </w:r>
          </w:p>
        </w:tc>
      </w:tr>
    </w:tbl>
    <w:p w14:paraId="0ABEDFCA" w14:textId="3395265C" w:rsidR="00BA21B6" w:rsidRDefault="00BA21B6" w:rsidP="00BA21B6"/>
    <w:tbl>
      <w:tblPr>
        <w:tblStyle w:val="TableGrid"/>
        <w:tblW w:w="5000" w:type="pct"/>
        <w:tblLook w:val="04A0" w:firstRow="1" w:lastRow="0" w:firstColumn="1" w:lastColumn="0" w:noHBand="0" w:noVBand="1"/>
      </w:tblPr>
      <w:tblGrid>
        <w:gridCol w:w="10420"/>
      </w:tblGrid>
      <w:tr w:rsidR="00BA21B6" w14:paraId="0A382904" w14:textId="77777777" w:rsidTr="001D6ADB">
        <w:tc>
          <w:tcPr>
            <w:tcW w:w="5000" w:type="pct"/>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79C0C0B" w14:textId="31E51A5B" w:rsidR="00BA21B6" w:rsidRPr="002748FC" w:rsidRDefault="00BA21B6" w:rsidP="004C587D">
            <w:pPr>
              <w:pStyle w:val="ListParagraph"/>
              <w:numPr>
                <w:ilvl w:val="0"/>
                <w:numId w:val="1"/>
              </w:numPr>
              <w:spacing w:before="240"/>
              <w:ind w:left="644" w:hanging="348"/>
              <w:rPr>
                <w:b/>
                <w:bCs/>
                <w:sz w:val="28"/>
                <w:szCs w:val="28"/>
              </w:rPr>
            </w:pPr>
            <w:r>
              <w:rPr>
                <w:b/>
                <w:bCs/>
                <w:sz w:val="28"/>
                <w:szCs w:val="28"/>
              </w:rPr>
              <w:t>Safety Precautions</w:t>
            </w:r>
          </w:p>
          <w:p w14:paraId="1886DCA9" w14:textId="77777777" w:rsidR="00BA21B6" w:rsidRPr="002748FC" w:rsidRDefault="00BA21B6" w:rsidP="001D6ADB"/>
          <w:p w14:paraId="2201C64A" w14:textId="77777777" w:rsidR="00BA21B6" w:rsidRDefault="00BA21B6" w:rsidP="00BA21B6">
            <w:pPr>
              <w:pStyle w:val="ListParagraph"/>
              <w:numPr>
                <w:ilvl w:val="0"/>
                <w:numId w:val="3"/>
              </w:numPr>
              <w:ind w:left="579" w:hanging="283"/>
            </w:pPr>
            <w:r>
              <w:t>Gas detectors</w:t>
            </w:r>
          </w:p>
          <w:p w14:paraId="7D91F4AE" w14:textId="77777777" w:rsidR="00BA21B6" w:rsidRDefault="00BA21B6" w:rsidP="00BA21B6">
            <w:pPr>
              <w:pStyle w:val="ListParagraph"/>
              <w:numPr>
                <w:ilvl w:val="0"/>
                <w:numId w:val="3"/>
              </w:numPr>
              <w:ind w:left="579" w:hanging="283"/>
            </w:pPr>
            <w:r>
              <w:t>First aid kit</w:t>
            </w:r>
          </w:p>
          <w:p w14:paraId="0EF8D308" w14:textId="77777777" w:rsidR="00BA21B6" w:rsidRDefault="00BA21B6" w:rsidP="00BA21B6">
            <w:pPr>
              <w:pStyle w:val="ListParagraph"/>
              <w:numPr>
                <w:ilvl w:val="0"/>
                <w:numId w:val="3"/>
              </w:numPr>
              <w:ind w:left="579" w:hanging="283"/>
            </w:pPr>
            <w:r>
              <w:t>Constant atmosphere testing throughout operations</w:t>
            </w:r>
          </w:p>
          <w:p w14:paraId="17B4B2B3" w14:textId="78296BF3" w:rsidR="00BA21B6" w:rsidRDefault="00BA21B6" w:rsidP="00BA21B6">
            <w:pPr>
              <w:pStyle w:val="ListParagraph"/>
              <w:numPr>
                <w:ilvl w:val="0"/>
                <w:numId w:val="3"/>
              </w:numPr>
              <w:spacing w:after="240"/>
              <w:ind w:left="579" w:hanging="283"/>
            </w:pPr>
            <w:r>
              <w:t>Safety Barrier</w:t>
            </w:r>
          </w:p>
        </w:tc>
      </w:tr>
    </w:tbl>
    <w:p w14:paraId="1E4427EC" w14:textId="77777777" w:rsidR="00BA21B6" w:rsidRDefault="00BA21B6" w:rsidP="00BA21B6"/>
    <w:tbl>
      <w:tblPr>
        <w:tblStyle w:val="TableGrid"/>
        <w:tblW w:w="5000" w:type="pct"/>
        <w:tblLook w:val="04A0" w:firstRow="1" w:lastRow="0" w:firstColumn="1" w:lastColumn="0" w:noHBand="0" w:noVBand="1"/>
      </w:tblPr>
      <w:tblGrid>
        <w:gridCol w:w="10420"/>
      </w:tblGrid>
      <w:tr w:rsidR="00BA21B6" w14:paraId="543CC5F6" w14:textId="77777777" w:rsidTr="001D6ADB">
        <w:tc>
          <w:tcPr>
            <w:tcW w:w="5000" w:type="pct"/>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7BC3A6A" w14:textId="4E43C6E8" w:rsidR="00BA21B6" w:rsidRPr="002748FC" w:rsidRDefault="00BA21B6" w:rsidP="004C587D">
            <w:pPr>
              <w:pStyle w:val="ListParagraph"/>
              <w:numPr>
                <w:ilvl w:val="0"/>
                <w:numId w:val="1"/>
              </w:numPr>
              <w:spacing w:before="240"/>
              <w:ind w:left="644" w:hanging="348"/>
              <w:rPr>
                <w:b/>
                <w:bCs/>
                <w:sz w:val="28"/>
                <w:szCs w:val="28"/>
              </w:rPr>
            </w:pPr>
            <w:r>
              <w:rPr>
                <w:b/>
                <w:bCs/>
                <w:sz w:val="28"/>
                <w:szCs w:val="28"/>
              </w:rPr>
              <w:lastRenderedPageBreak/>
              <w:t>Monitoring Systems</w:t>
            </w:r>
          </w:p>
          <w:p w14:paraId="4B19B864" w14:textId="6C036274" w:rsidR="00BA21B6" w:rsidRDefault="00BA21B6" w:rsidP="00BA21B6">
            <w:pPr>
              <w:ind w:left="0"/>
            </w:pPr>
          </w:p>
          <w:p w14:paraId="58E4E437" w14:textId="29BE8096" w:rsidR="00BA21B6" w:rsidRDefault="00BA21B6" w:rsidP="004C587D">
            <w:pPr>
              <w:ind w:left="296" w:right="275"/>
            </w:pPr>
            <w:r>
              <w:t>Supervisor or Team Leader (Kyle Styles – 07774 251238 / Steven Cummings – 07824 600382) to oversee complete operations.</w:t>
            </w:r>
          </w:p>
          <w:p w14:paraId="0C57CC2B" w14:textId="1F4040A6" w:rsidR="00BA21B6" w:rsidRDefault="00BA21B6" w:rsidP="004C587D">
            <w:pPr>
              <w:ind w:left="296" w:right="275"/>
            </w:pPr>
          </w:p>
          <w:p w14:paraId="0BF5153F" w14:textId="0E82680C" w:rsidR="00BA21B6" w:rsidRDefault="00BA21B6" w:rsidP="004C587D">
            <w:pPr>
              <w:spacing w:after="240"/>
              <w:ind w:left="296" w:right="275"/>
            </w:pPr>
            <w:r>
              <w:t>Gas monitoring to consistently monitor atmosphere.</w:t>
            </w:r>
          </w:p>
        </w:tc>
      </w:tr>
    </w:tbl>
    <w:p w14:paraId="50B7D730" w14:textId="77777777" w:rsidR="00BA21B6" w:rsidRDefault="00BA21B6" w:rsidP="00BA21B6"/>
    <w:tbl>
      <w:tblPr>
        <w:tblStyle w:val="TableGrid"/>
        <w:tblW w:w="5000" w:type="pct"/>
        <w:tblLook w:val="04A0" w:firstRow="1" w:lastRow="0" w:firstColumn="1" w:lastColumn="0" w:noHBand="0" w:noVBand="1"/>
      </w:tblPr>
      <w:tblGrid>
        <w:gridCol w:w="10420"/>
      </w:tblGrid>
      <w:tr w:rsidR="00BA21B6" w14:paraId="13968B45" w14:textId="77777777" w:rsidTr="001D6ADB">
        <w:tc>
          <w:tcPr>
            <w:tcW w:w="5000" w:type="pct"/>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7C73530" w14:textId="02F15265" w:rsidR="00BA21B6" w:rsidRPr="002748FC" w:rsidRDefault="00BA21B6" w:rsidP="004C587D">
            <w:pPr>
              <w:pStyle w:val="ListParagraph"/>
              <w:numPr>
                <w:ilvl w:val="0"/>
                <w:numId w:val="1"/>
              </w:numPr>
              <w:spacing w:before="240"/>
              <w:ind w:left="644" w:hanging="348"/>
              <w:rPr>
                <w:b/>
                <w:bCs/>
                <w:sz w:val="28"/>
                <w:szCs w:val="28"/>
              </w:rPr>
            </w:pPr>
            <w:r>
              <w:rPr>
                <w:b/>
                <w:bCs/>
                <w:sz w:val="28"/>
                <w:szCs w:val="28"/>
              </w:rPr>
              <w:t>Further Information / Observations</w:t>
            </w:r>
          </w:p>
          <w:p w14:paraId="705049BA" w14:textId="77777777" w:rsidR="00BA21B6" w:rsidRDefault="00BA21B6" w:rsidP="001D6ADB">
            <w:pPr>
              <w:ind w:left="0"/>
            </w:pPr>
          </w:p>
          <w:p w14:paraId="1DAA5C5E" w14:textId="77777777" w:rsidR="004C587D" w:rsidRDefault="004C587D" w:rsidP="004C587D">
            <w:pPr>
              <w:ind w:left="296" w:right="275"/>
            </w:pPr>
            <w:r>
              <w:t>A1 Wet Waste Ltd supervisors or managers take over all responsibility of operations and retain the right to cancel or halt any operations as they deemed necessary.</w:t>
            </w:r>
          </w:p>
          <w:p w14:paraId="273AF50F" w14:textId="77777777" w:rsidR="004C587D" w:rsidRDefault="004C587D" w:rsidP="004C587D">
            <w:pPr>
              <w:ind w:left="296" w:right="275"/>
            </w:pPr>
          </w:p>
          <w:p w14:paraId="05B88A19" w14:textId="5E17110E" w:rsidR="004C587D" w:rsidRDefault="004C587D" w:rsidP="004C587D">
            <w:pPr>
              <w:spacing w:after="240"/>
              <w:ind w:left="296" w:right="275"/>
            </w:pPr>
            <w:r>
              <w:t>Works may need to be rescheduled if initial assessment of site deems this method statement as unviable.  Please attached site specific risk assessment.</w:t>
            </w:r>
          </w:p>
        </w:tc>
      </w:tr>
    </w:tbl>
    <w:p w14:paraId="1AE504F7" w14:textId="77777777" w:rsidR="004C587D" w:rsidRDefault="004C587D" w:rsidP="004C587D"/>
    <w:tbl>
      <w:tblPr>
        <w:tblStyle w:val="TableGrid"/>
        <w:tblW w:w="5000" w:type="pct"/>
        <w:tblLook w:val="04A0" w:firstRow="1" w:lastRow="0" w:firstColumn="1" w:lastColumn="0" w:noHBand="0" w:noVBand="1"/>
      </w:tblPr>
      <w:tblGrid>
        <w:gridCol w:w="10420"/>
      </w:tblGrid>
      <w:tr w:rsidR="004C587D" w14:paraId="2D57573F" w14:textId="77777777" w:rsidTr="001D6ADB">
        <w:tc>
          <w:tcPr>
            <w:tcW w:w="5000" w:type="pct"/>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EFC4A4D" w14:textId="17194B52" w:rsidR="004C587D" w:rsidRPr="002748FC" w:rsidRDefault="004C587D" w:rsidP="004C587D">
            <w:pPr>
              <w:pStyle w:val="ListParagraph"/>
              <w:numPr>
                <w:ilvl w:val="0"/>
                <w:numId w:val="1"/>
              </w:numPr>
              <w:spacing w:before="240"/>
              <w:ind w:left="644" w:hanging="348"/>
              <w:rPr>
                <w:b/>
                <w:bCs/>
                <w:sz w:val="28"/>
                <w:szCs w:val="28"/>
              </w:rPr>
            </w:pPr>
            <w:r>
              <w:rPr>
                <w:b/>
                <w:bCs/>
                <w:sz w:val="28"/>
                <w:szCs w:val="28"/>
              </w:rPr>
              <w:t>Emergencies</w:t>
            </w:r>
          </w:p>
          <w:p w14:paraId="0FBB4C42" w14:textId="77777777" w:rsidR="004C587D" w:rsidRDefault="004C587D" w:rsidP="001D6ADB">
            <w:pPr>
              <w:ind w:left="0"/>
            </w:pPr>
          </w:p>
          <w:p w14:paraId="44F5D4A3" w14:textId="77777777" w:rsidR="004C587D" w:rsidRDefault="004C587D" w:rsidP="004C587D">
            <w:pPr>
              <w:ind w:left="296" w:right="275"/>
            </w:pPr>
            <w:r>
              <w:t>First Aid Equipment is provided on each vehicle</w:t>
            </w:r>
          </w:p>
          <w:p w14:paraId="4C01E868" w14:textId="77777777" w:rsidR="004C587D" w:rsidRDefault="004C587D" w:rsidP="004C587D">
            <w:pPr>
              <w:ind w:left="296" w:right="275"/>
            </w:pPr>
          </w:p>
          <w:p w14:paraId="49957FF3" w14:textId="77777777" w:rsidR="004C587D" w:rsidRPr="004C587D" w:rsidRDefault="004C587D" w:rsidP="004C587D">
            <w:pPr>
              <w:ind w:left="296" w:right="275"/>
              <w:rPr>
                <w:b/>
                <w:bCs/>
              </w:rPr>
            </w:pPr>
            <w:r w:rsidRPr="004C587D">
              <w:rPr>
                <w:b/>
                <w:bCs/>
              </w:rPr>
              <w:t>Emergency Services: 999</w:t>
            </w:r>
          </w:p>
          <w:p w14:paraId="33384FCD" w14:textId="77777777" w:rsidR="004C587D" w:rsidRDefault="004C587D" w:rsidP="004C587D">
            <w:pPr>
              <w:ind w:left="296" w:right="275"/>
            </w:pPr>
          </w:p>
          <w:p w14:paraId="07771C0A" w14:textId="77777777" w:rsidR="004C587D" w:rsidRDefault="004C587D" w:rsidP="004C587D">
            <w:pPr>
              <w:pStyle w:val="ListParagraph"/>
              <w:numPr>
                <w:ilvl w:val="0"/>
                <w:numId w:val="3"/>
              </w:numPr>
              <w:ind w:left="579" w:right="275" w:hanging="283"/>
            </w:pPr>
            <w:r>
              <w:t>Call 999 in the event of an emergency and state the incident location as [site address]</w:t>
            </w:r>
          </w:p>
          <w:p w14:paraId="119A7F40" w14:textId="77777777" w:rsidR="004C587D" w:rsidRDefault="004C587D" w:rsidP="004C587D">
            <w:pPr>
              <w:pStyle w:val="ListParagraph"/>
              <w:numPr>
                <w:ilvl w:val="0"/>
                <w:numId w:val="3"/>
              </w:numPr>
              <w:ind w:left="579" w:right="275" w:hanging="283"/>
            </w:pPr>
            <w:r>
              <w:t xml:space="preserve">Follow the instructions of the </w:t>
            </w:r>
            <w:proofErr w:type="gramStart"/>
            <w:r>
              <w:t>999 call</w:t>
            </w:r>
            <w:proofErr w:type="gramEnd"/>
            <w:r>
              <w:t xml:space="preserve"> handler/emergency medical dispatcher until help arrives</w:t>
            </w:r>
          </w:p>
          <w:p w14:paraId="7C2691F1" w14:textId="77777777" w:rsidR="004C587D" w:rsidRDefault="004C587D" w:rsidP="004C587D">
            <w:pPr>
              <w:pStyle w:val="ListParagraph"/>
              <w:numPr>
                <w:ilvl w:val="0"/>
                <w:numId w:val="3"/>
              </w:numPr>
              <w:ind w:left="579" w:right="275" w:hanging="283"/>
            </w:pPr>
            <w:r>
              <w:t>Care must be taken to ensure that access for emergency vehicles is maintained throughout the site operations</w:t>
            </w:r>
          </w:p>
          <w:p w14:paraId="6AC75054" w14:textId="77777777" w:rsidR="004C587D" w:rsidRDefault="004C587D" w:rsidP="004C587D">
            <w:pPr>
              <w:ind w:right="275"/>
            </w:pPr>
          </w:p>
          <w:p w14:paraId="06731F7B" w14:textId="77777777" w:rsidR="004C587D" w:rsidRDefault="004C587D" w:rsidP="004C587D">
            <w:pPr>
              <w:ind w:right="275"/>
            </w:pPr>
            <w:r w:rsidRPr="004C587D">
              <w:rPr>
                <w:b/>
                <w:bCs/>
              </w:rPr>
              <w:t xml:space="preserve">Nearest Hospital: </w:t>
            </w:r>
            <w:r>
              <w:t>St Thomas’</w:t>
            </w:r>
          </w:p>
          <w:p w14:paraId="768017FB" w14:textId="3283D445" w:rsidR="004C587D" w:rsidRPr="004C587D" w:rsidRDefault="004C587D" w:rsidP="004C587D">
            <w:pPr>
              <w:ind w:right="275"/>
              <w:rPr>
                <w:b/>
                <w:bCs/>
              </w:rPr>
            </w:pPr>
            <w:r>
              <w:t>Tel: 020 7188 7188</w:t>
            </w:r>
          </w:p>
          <w:p w14:paraId="2E9E72C6" w14:textId="73F224BF" w:rsidR="00E2752E" w:rsidRDefault="004C587D" w:rsidP="00E2752E">
            <w:pPr>
              <w:ind w:right="275"/>
            </w:pPr>
            <w:r>
              <w:t>Address: Westminster Bridge Road, London, SE1 7EH</w:t>
            </w:r>
            <w:r w:rsidR="00BF571E">
              <w:t>.</w:t>
            </w:r>
          </w:p>
          <w:p w14:paraId="510B3D51" w14:textId="77777777" w:rsidR="00E2752E" w:rsidRDefault="00E2752E" w:rsidP="00E2752E">
            <w:pPr>
              <w:ind w:right="275"/>
            </w:pPr>
          </w:p>
          <w:p w14:paraId="5D6F6A11" w14:textId="7142BC8C" w:rsidR="00E2752E" w:rsidRDefault="00E2752E" w:rsidP="004C587D">
            <w:r>
              <w:rPr>
                <w:noProof/>
              </w:rPr>
              <w:lastRenderedPageBreak/>
              <w:drawing>
                <wp:inline distT="0" distB="0" distL="0" distR="0" wp14:anchorId="284839E0" wp14:editId="3B151A0D">
                  <wp:extent cx="6038850" cy="3316578"/>
                  <wp:effectExtent l="0" t="0" r="0" b="0"/>
                  <wp:docPr id="16" name="Picture 16"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rl-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53415" cy="3324577"/>
                          </a:xfrm>
                          <a:prstGeom prst="rect">
                            <a:avLst/>
                          </a:prstGeom>
                        </pic:spPr>
                      </pic:pic>
                    </a:graphicData>
                  </a:graphic>
                </wp:inline>
              </w:drawing>
            </w:r>
          </w:p>
          <w:p w14:paraId="59730A19" w14:textId="5A6EC1F9" w:rsidR="004C587D" w:rsidRDefault="004C587D" w:rsidP="004C587D"/>
        </w:tc>
      </w:tr>
    </w:tbl>
    <w:p w14:paraId="4B415CA6" w14:textId="77777777" w:rsidR="004C587D" w:rsidRDefault="004C587D" w:rsidP="004C587D"/>
    <w:tbl>
      <w:tblPr>
        <w:tblStyle w:val="TableGrid"/>
        <w:tblW w:w="5000" w:type="pct"/>
        <w:tbl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538"/>
        <w:gridCol w:w="3672"/>
        <w:gridCol w:w="1430"/>
        <w:gridCol w:w="3780"/>
      </w:tblGrid>
      <w:tr w:rsidR="00F041AD" w14:paraId="34047CC6" w14:textId="77777777" w:rsidTr="00F041AD">
        <w:trPr>
          <w:trHeight w:val="567"/>
        </w:trPr>
        <w:tc>
          <w:tcPr>
            <w:tcW w:w="2500" w:type="pct"/>
            <w:gridSpan w:val="2"/>
            <w:vAlign w:val="center"/>
          </w:tcPr>
          <w:p w14:paraId="1CBD228B" w14:textId="77777777" w:rsidR="00F041AD" w:rsidRDefault="00F041AD" w:rsidP="004C587D">
            <w:pPr>
              <w:ind w:left="296"/>
              <w:rPr>
                <w:b/>
                <w:bCs/>
                <w:sz w:val="28"/>
                <w:szCs w:val="28"/>
              </w:rPr>
            </w:pPr>
            <w:r>
              <w:rPr>
                <w:b/>
                <w:bCs/>
                <w:sz w:val="28"/>
                <w:szCs w:val="28"/>
              </w:rPr>
              <w:t>Method Statement prepared by:</w:t>
            </w:r>
          </w:p>
        </w:tc>
        <w:tc>
          <w:tcPr>
            <w:tcW w:w="686" w:type="pct"/>
            <w:vAlign w:val="center"/>
          </w:tcPr>
          <w:p w14:paraId="2B4F2329" w14:textId="54AA70AD" w:rsidR="00F041AD" w:rsidRPr="004C587D" w:rsidRDefault="00F041AD" w:rsidP="004C587D">
            <w:pPr>
              <w:ind w:left="296"/>
            </w:pPr>
            <w:r>
              <w:t>Name:</w:t>
            </w:r>
          </w:p>
        </w:tc>
        <w:tc>
          <w:tcPr>
            <w:tcW w:w="1814" w:type="pct"/>
            <w:vAlign w:val="center"/>
          </w:tcPr>
          <w:p w14:paraId="2B1732CC" w14:textId="39E13496" w:rsidR="00F041AD" w:rsidRPr="004C587D" w:rsidRDefault="00F041AD" w:rsidP="004C587D">
            <w:pPr>
              <w:ind w:left="296"/>
            </w:pPr>
            <w:r>
              <w:t>Steve Cummings</w:t>
            </w:r>
          </w:p>
        </w:tc>
      </w:tr>
      <w:tr w:rsidR="00F041AD" w14:paraId="6DB0D909" w14:textId="77777777" w:rsidTr="00F041AD">
        <w:trPr>
          <w:trHeight w:val="1474"/>
        </w:trPr>
        <w:tc>
          <w:tcPr>
            <w:tcW w:w="738" w:type="pct"/>
            <w:vAlign w:val="center"/>
          </w:tcPr>
          <w:p w14:paraId="66E50C4D" w14:textId="43BB3813" w:rsidR="00F041AD" w:rsidRDefault="00F041AD" w:rsidP="004C587D">
            <w:pPr>
              <w:ind w:left="296"/>
            </w:pPr>
            <w:r>
              <w:t>Signed:</w:t>
            </w:r>
          </w:p>
        </w:tc>
        <w:tc>
          <w:tcPr>
            <w:tcW w:w="1762" w:type="pct"/>
            <w:vAlign w:val="center"/>
          </w:tcPr>
          <w:p w14:paraId="7C15D696" w14:textId="77777777" w:rsidR="00F041AD" w:rsidRDefault="00F041AD" w:rsidP="004C587D">
            <w:pPr>
              <w:ind w:left="296"/>
            </w:pPr>
          </w:p>
        </w:tc>
        <w:tc>
          <w:tcPr>
            <w:tcW w:w="686" w:type="pct"/>
            <w:vAlign w:val="center"/>
          </w:tcPr>
          <w:p w14:paraId="6CD638EB" w14:textId="794C2F74" w:rsidR="00F041AD" w:rsidRDefault="00F041AD" w:rsidP="004C587D">
            <w:pPr>
              <w:ind w:left="296"/>
            </w:pPr>
            <w:r>
              <w:t>Date:</w:t>
            </w:r>
          </w:p>
        </w:tc>
        <w:tc>
          <w:tcPr>
            <w:tcW w:w="1814" w:type="pct"/>
            <w:vAlign w:val="center"/>
          </w:tcPr>
          <w:p w14:paraId="49C034A7" w14:textId="0FD7DA79" w:rsidR="00F041AD" w:rsidRDefault="00F041AD" w:rsidP="004C587D">
            <w:pPr>
              <w:ind w:left="296"/>
            </w:pPr>
          </w:p>
        </w:tc>
      </w:tr>
    </w:tbl>
    <w:p w14:paraId="045D086E" w14:textId="77777777" w:rsidR="00F041AD" w:rsidRDefault="00F041AD" w:rsidP="00F041AD"/>
    <w:tbl>
      <w:tblPr>
        <w:tblStyle w:val="TableGrid"/>
        <w:tblW w:w="5000" w:type="pct"/>
        <w:tbl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538"/>
        <w:gridCol w:w="3672"/>
        <w:gridCol w:w="1430"/>
        <w:gridCol w:w="3780"/>
      </w:tblGrid>
      <w:tr w:rsidR="00F041AD" w14:paraId="63C870AD" w14:textId="77777777" w:rsidTr="00F041AD">
        <w:trPr>
          <w:trHeight w:val="1247"/>
        </w:trPr>
        <w:tc>
          <w:tcPr>
            <w:tcW w:w="2500" w:type="pct"/>
            <w:gridSpan w:val="2"/>
            <w:vAlign w:val="center"/>
          </w:tcPr>
          <w:p w14:paraId="1894CC5D" w14:textId="77777777" w:rsidR="00F041AD" w:rsidRDefault="00F041AD" w:rsidP="001D6ADB">
            <w:pPr>
              <w:ind w:left="296"/>
              <w:rPr>
                <w:b/>
                <w:bCs/>
                <w:sz w:val="28"/>
                <w:szCs w:val="28"/>
              </w:rPr>
            </w:pPr>
            <w:r>
              <w:rPr>
                <w:b/>
                <w:bCs/>
                <w:sz w:val="28"/>
                <w:szCs w:val="28"/>
              </w:rPr>
              <w:t>Engineer:</w:t>
            </w:r>
          </w:p>
          <w:p w14:paraId="001903A9" w14:textId="1F70CFE6" w:rsidR="00F041AD" w:rsidRDefault="00F041AD" w:rsidP="001D6ADB">
            <w:pPr>
              <w:ind w:left="296"/>
              <w:rPr>
                <w:b/>
                <w:bCs/>
                <w:sz w:val="28"/>
                <w:szCs w:val="28"/>
              </w:rPr>
            </w:pPr>
            <w:r>
              <w:t>(When on site to confirm you have read and understood the content of this Method Statement)</w:t>
            </w:r>
          </w:p>
        </w:tc>
        <w:tc>
          <w:tcPr>
            <w:tcW w:w="686" w:type="pct"/>
            <w:vAlign w:val="center"/>
          </w:tcPr>
          <w:p w14:paraId="5B39FF0A" w14:textId="77777777" w:rsidR="00F041AD" w:rsidRPr="004C587D" w:rsidRDefault="00F041AD" w:rsidP="001D6ADB">
            <w:pPr>
              <w:ind w:left="296"/>
            </w:pPr>
            <w:r>
              <w:t>Name:</w:t>
            </w:r>
          </w:p>
        </w:tc>
        <w:tc>
          <w:tcPr>
            <w:tcW w:w="1814" w:type="pct"/>
            <w:vAlign w:val="center"/>
          </w:tcPr>
          <w:p w14:paraId="5AAE1780" w14:textId="234CFAB0" w:rsidR="00F041AD" w:rsidRPr="004C587D" w:rsidRDefault="00F041AD" w:rsidP="001D6ADB">
            <w:pPr>
              <w:ind w:left="296"/>
            </w:pPr>
          </w:p>
        </w:tc>
      </w:tr>
      <w:tr w:rsidR="00F041AD" w14:paraId="10697321" w14:textId="77777777" w:rsidTr="00F041AD">
        <w:trPr>
          <w:trHeight w:val="1474"/>
        </w:trPr>
        <w:tc>
          <w:tcPr>
            <w:tcW w:w="738" w:type="pct"/>
            <w:vAlign w:val="center"/>
          </w:tcPr>
          <w:p w14:paraId="1B9788E6" w14:textId="77777777" w:rsidR="00F041AD" w:rsidRDefault="00F041AD" w:rsidP="001D6ADB">
            <w:pPr>
              <w:ind w:left="296"/>
            </w:pPr>
            <w:r>
              <w:t>Signed:</w:t>
            </w:r>
          </w:p>
        </w:tc>
        <w:tc>
          <w:tcPr>
            <w:tcW w:w="1762" w:type="pct"/>
            <w:vAlign w:val="center"/>
          </w:tcPr>
          <w:p w14:paraId="1F6B902F" w14:textId="77777777" w:rsidR="00F041AD" w:rsidRDefault="00F041AD" w:rsidP="001D6ADB">
            <w:pPr>
              <w:ind w:left="296"/>
            </w:pPr>
          </w:p>
        </w:tc>
        <w:tc>
          <w:tcPr>
            <w:tcW w:w="686" w:type="pct"/>
            <w:vAlign w:val="center"/>
          </w:tcPr>
          <w:p w14:paraId="7C87307D" w14:textId="77777777" w:rsidR="00F041AD" w:rsidRDefault="00F041AD" w:rsidP="001D6ADB">
            <w:pPr>
              <w:ind w:left="296"/>
            </w:pPr>
            <w:r>
              <w:t>Date:</w:t>
            </w:r>
          </w:p>
        </w:tc>
        <w:tc>
          <w:tcPr>
            <w:tcW w:w="1814" w:type="pct"/>
            <w:vAlign w:val="center"/>
          </w:tcPr>
          <w:p w14:paraId="695C2E4F" w14:textId="77777777" w:rsidR="00F041AD" w:rsidRDefault="00F041AD" w:rsidP="001D6ADB">
            <w:pPr>
              <w:ind w:left="296"/>
            </w:pPr>
          </w:p>
        </w:tc>
      </w:tr>
    </w:tbl>
    <w:p w14:paraId="3E8DC5D7" w14:textId="77777777" w:rsidR="0079276D" w:rsidRPr="002748FC" w:rsidRDefault="0079276D" w:rsidP="0059286A">
      <w:pPr>
        <w:ind w:left="0"/>
      </w:pPr>
    </w:p>
    <w:sectPr w:rsidR="0079276D" w:rsidRPr="002748FC" w:rsidSect="00933987">
      <w:headerReference w:type="even" r:id="rId8"/>
      <w:headerReference w:type="default" r:id="rId9"/>
      <w:footerReference w:type="even" r:id="rId10"/>
      <w:footerReference w:type="default" r:id="rId11"/>
      <w:headerReference w:type="first" r:id="rId12"/>
      <w:footerReference w:type="first" r:id="rId13"/>
      <w:pgSz w:w="11906" w:h="16838"/>
      <w:pgMar w:top="1418" w:right="720" w:bottom="1276" w:left="720" w:header="70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88068" w14:textId="77777777" w:rsidR="00C97EB3" w:rsidRDefault="00C97EB3" w:rsidP="002748FC">
      <w:r>
        <w:separator/>
      </w:r>
    </w:p>
  </w:endnote>
  <w:endnote w:type="continuationSeparator" w:id="0">
    <w:p w14:paraId="1F6FE629" w14:textId="77777777" w:rsidR="00C97EB3" w:rsidRDefault="00C97EB3" w:rsidP="0027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1D68" w14:textId="77777777" w:rsidR="00933987" w:rsidRDefault="00933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C8A6" w14:textId="30BD51ED" w:rsidR="00BF571E" w:rsidRDefault="00933987" w:rsidP="00933987">
    <w:pPr>
      <w:pStyle w:val="Footer"/>
      <w:tabs>
        <w:tab w:val="center" w:pos="5233"/>
        <w:tab w:val="left" w:pos="8505"/>
      </w:tabs>
      <w:ind w:left="0"/>
    </w:pPr>
    <w:r>
      <w:rPr>
        <w:noProof/>
      </w:rPr>
      <w:drawing>
        <wp:anchor distT="0" distB="0" distL="114300" distR="114300" simplePos="0" relativeHeight="251658240" behindDoc="1" locked="0" layoutInCell="1" allowOverlap="1" wp14:anchorId="7F32096E" wp14:editId="3F275B40">
          <wp:simplePos x="0" y="0"/>
          <wp:positionH relativeFrom="margin">
            <wp:align>right</wp:align>
          </wp:positionH>
          <wp:positionV relativeFrom="paragraph">
            <wp:posOffset>-395605</wp:posOffset>
          </wp:positionV>
          <wp:extent cx="1086485" cy="6838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683895"/>
                  </a:xfrm>
                  <a:prstGeom prst="rect">
                    <a:avLst/>
                  </a:prstGeom>
                  <a:noFill/>
                </pic:spPr>
              </pic:pic>
            </a:graphicData>
          </a:graphic>
        </wp:anchor>
      </w:drawing>
    </w:r>
    <w:r>
      <w:tab/>
    </w:r>
    <w:r>
      <w:tab/>
    </w:r>
    <w:sdt>
      <w:sdtPr>
        <w:id w:val="-1411305781"/>
        <w:docPartObj>
          <w:docPartGallery w:val="Page Numbers (Bottom of Page)"/>
          <w:docPartUnique/>
        </w:docPartObj>
      </w:sdtPr>
      <w:sdtEndPr/>
      <w:sdtContent>
        <w:sdt>
          <w:sdtPr>
            <w:id w:val="1728636285"/>
            <w:docPartObj>
              <w:docPartGallery w:val="Page Numbers (Top of Page)"/>
              <w:docPartUnique/>
            </w:docPartObj>
          </w:sdtPr>
          <w:sdtEndPr/>
          <w:sdtContent>
            <w:r w:rsidR="00BF571E">
              <w:t xml:space="preserve">Page </w:t>
            </w:r>
            <w:r w:rsidR="00BF571E">
              <w:rPr>
                <w:b/>
                <w:bCs/>
                <w:sz w:val="24"/>
                <w:szCs w:val="24"/>
              </w:rPr>
              <w:fldChar w:fldCharType="begin"/>
            </w:r>
            <w:r w:rsidR="00BF571E">
              <w:rPr>
                <w:b/>
                <w:bCs/>
              </w:rPr>
              <w:instrText xml:space="preserve"> PAGE </w:instrText>
            </w:r>
            <w:r w:rsidR="00BF571E">
              <w:rPr>
                <w:b/>
                <w:bCs/>
                <w:sz w:val="24"/>
                <w:szCs w:val="24"/>
              </w:rPr>
              <w:fldChar w:fldCharType="separate"/>
            </w:r>
            <w:r w:rsidR="00BF571E">
              <w:rPr>
                <w:b/>
                <w:bCs/>
                <w:noProof/>
              </w:rPr>
              <w:t>2</w:t>
            </w:r>
            <w:r w:rsidR="00BF571E">
              <w:rPr>
                <w:b/>
                <w:bCs/>
                <w:sz w:val="24"/>
                <w:szCs w:val="24"/>
              </w:rPr>
              <w:fldChar w:fldCharType="end"/>
            </w:r>
            <w:r w:rsidR="00BF571E">
              <w:t xml:space="preserve"> of </w:t>
            </w:r>
            <w:r w:rsidR="00BF571E">
              <w:rPr>
                <w:b/>
                <w:bCs/>
                <w:sz w:val="24"/>
                <w:szCs w:val="24"/>
              </w:rPr>
              <w:fldChar w:fldCharType="begin"/>
            </w:r>
            <w:r w:rsidR="00BF571E">
              <w:rPr>
                <w:b/>
                <w:bCs/>
              </w:rPr>
              <w:instrText xml:space="preserve"> NUMPAGES  </w:instrText>
            </w:r>
            <w:r w:rsidR="00BF571E">
              <w:rPr>
                <w:b/>
                <w:bCs/>
                <w:sz w:val="24"/>
                <w:szCs w:val="24"/>
              </w:rPr>
              <w:fldChar w:fldCharType="separate"/>
            </w:r>
            <w:r w:rsidR="00BF571E">
              <w:rPr>
                <w:b/>
                <w:bCs/>
                <w:noProof/>
              </w:rPr>
              <w:t>2</w:t>
            </w:r>
            <w:r w:rsidR="00BF571E">
              <w:rPr>
                <w:b/>
                <w:bCs/>
                <w:sz w:val="24"/>
                <w:szCs w:val="24"/>
              </w:rPr>
              <w:fldChar w:fldCharType="end"/>
            </w:r>
          </w:sdtContent>
        </w:sdt>
      </w:sdtContent>
    </w:sdt>
    <w:r>
      <w:tab/>
    </w:r>
  </w:p>
  <w:p w14:paraId="20BB41BB" w14:textId="77777777" w:rsidR="00BF571E" w:rsidRDefault="00BF57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EFC0" w14:textId="77777777" w:rsidR="00933987" w:rsidRDefault="00933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A25BD" w14:textId="77777777" w:rsidR="00C97EB3" w:rsidRDefault="00C97EB3" w:rsidP="002748FC">
      <w:r>
        <w:separator/>
      </w:r>
    </w:p>
  </w:footnote>
  <w:footnote w:type="continuationSeparator" w:id="0">
    <w:p w14:paraId="4C7F074A" w14:textId="77777777" w:rsidR="00C97EB3" w:rsidRDefault="00C97EB3" w:rsidP="00274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A47F" w14:textId="77777777" w:rsidR="00933987" w:rsidRDefault="00933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61132" w14:textId="079B5F40" w:rsidR="00A20639" w:rsidRPr="00933987" w:rsidRDefault="00933987" w:rsidP="00933987">
    <w:pPr>
      <w:pStyle w:val="Header"/>
      <w:jc w:val="center"/>
      <w:rPr>
        <w:sz w:val="18"/>
        <w:szCs w:val="18"/>
      </w:rPr>
    </w:pPr>
    <w:r w:rsidRPr="00933987">
      <w:rPr>
        <w:sz w:val="18"/>
        <w:szCs w:val="18"/>
        <w:lang w:val="en-GB"/>
      </w:rPr>
      <w:t xml:space="preserve">Creation Date: May </w:t>
    </w:r>
    <w:proofErr w:type="gramStart"/>
    <w:r w:rsidRPr="00933987">
      <w:rPr>
        <w:sz w:val="18"/>
        <w:szCs w:val="18"/>
        <w:lang w:val="en-GB"/>
      </w:rPr>
      <w:t>2015  |</w:t>
    </w:r>
    <w:proofErr w:type="gramEnd"/>
    <w:r w:rsidRPr="00933987">
      <w:rPr>
        <w:sz w:val="18"/>
        <w:szCs w:val="18"/>
        <w:lang w:val="en-GB"/>
      </w:rPr>
      <w:t xml:space="preserve">  Security &amp; Retention: CONFIDENTIAL  |  Version: 1.0 | Reviewed Date 1</w:t>
    </w:r>
    <w:r w:rsidRPr="00933987">
      <w:rPr>
        <w:sz w:val="18"/>
        <w:szCs w:val="18"/>
        <w:vertAlign w:val="superscript"/>
        <w:lang w:val="en-GB"/>
      </w:rPr>
      <w:t>st</w:t>
    </w:r>
    <w:r w:rsidRPr="00933987">
      <w:rPr>
        <w:sz w:val="18"/>
        <w:szCs w:val="18"/>
        <w:lang w:val="en-GB"/>
      </w:rPr>
      <w:t xml:space="preserve"> January 202</w:t>
    </w:r>
    <w:r w:rsidR="00955EDC">
      <w:rPr>
        <w:sz w:val="18"/>
        <w:szCs w:val="18"/>
        <w:lang w:val="en-GB"/>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9A56" w14:textId="77777777" w:rsidR="00933987" w:rsidRDefault="00933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E6C27"/>
    <w:multiLevelType w:val="hybridMultilevel"/>
    <w:tmpl w:val="3B9AD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4E34B3"/>
    <w:multiLevelType w:val="hybridMultilevel"/>
    <w:tmpl w:val="A5AC5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8D443D"/>
    <w:multiLevelType w:val="hybridMultilevel"/>
    <w:tmpl w:val="174403DA"/>
    <w:lvl w:ilvl="0" w:tplc="08090001">
      <w:start w:val="1"/>
      <w:numFmt w:val="bullet"/>
      <w:lvlText w:val=""/>
      <w:lvlJc w:val="left"/>
      <w:pPr>
        <w:ind w:left="939" w:hanging="360"/>
      </w:pPr>
      <w:rPr>
        <w:rFonts w:ascii="Symbol" w:hAnsi="Symbol" w:hint="default"/>
      </w:rPr>
    </w:lvl>
    <w:lvl w:ilvl="1" w:tplc="08090003" w:tentative="1">
      <w:start w:val="1"/>
      <w:numFmt w:val="bullet"/>
      <w:lvlText w:val="o"/>
      <w:lvlJc w:val="left"/>
      <w:pPr>
        <w:ind w:left="1659" w:hanging="360"/>
      </w:pPr>
      <w:rPr>
        <w:rFonts w:ascii="Courier New" w:hAnsi="Courier New" w:cs="Courier New" w:hint="default"/>
      </w:rPr>
    </w:lvl>
    <w:lvl w:ilvl="2" w:tplc="08090005" w:tentative="1">
      <w:start w:val="1"/>
      <w:numFmt w:val="bullet"/>
      <w:lvlText w:val=""/>
      <w:lvlJc w:val="left"/>
      <w:pPr>
        <w:ind w:left="2379" w:hanging="360"/>
      </w:pPr>
      <w:rPr>
        <w:rFonts w:ascii="Wingdings" w:hAnsi="Wingdings" w:hint="default"/>
      </w:rPr>
    </w:lvl>
    <w:lvl w:ilvl="3" w:tplc="08090001" w:tentative="1">
      <w:start w:val="1"/>
      <w:numFmt w:val="bullet"/>
      <w:lvlText w:val=""/>
      <w:lvlJc w:val="left"/>
      <w:pPr>
        <w:ind w:left="3099" w:hanging="360"/>
      </w:pPr>
      <w:rPr>
        <w:rFonts w:ascii="Symbol" w:hAnsi="Symbol" w:hint="default"/>
      </w:rPr>
    </w:lvl>
    <w:lvl w:ilvl="4" w:tplc="08090003" w:tentative="1">
      <w:start w:val="1"/>
      <w:numFmt w:val="bullet"/>
      <w:lvlText w:val="o"/>
      <w:lvlJc w:val="left"/>
      <w:pPr>
        <w:ind w:left="3819" w:hanging="360"/>
      </w:pPr>
      <w:rPr>
        <w:rFonts w:ascii="Courier New" w:hAnsi="Courier New" w:cs="Courier New" w:hint="default"/>
      </w:rPr>
    </w:lvl>
    <w:lvl w:ilvl="5" w:tplc="08090005" w:tentative="1">
      <w:start w:val="1"/>
      <w:numFmt w:val="bullet"/>
      <w:lvlText w:val=""/>
      <w:lvlJc w:val="left"/>
      <w:pPr>
        <w:ind w:left="4539" w:hanging="360"/>
      </w:pPr>
      <w:rPr>
        <w:rFonts w:ascii="Wingdings" w:hAnsi="Wingdings" w:hint="default"/>
      </w:rPr>
    </w:lvl>
    <w:lvl w:ilvl="6" w:tplc="08090001" w:tentative="1">
      <w:start w:val="1"/>
      <w:numFmt w:val="bullet"/>
      <w:lvlText w:val=""/>
      <w:lvlJc w:val="left"/>
      <w:pPr>
        <w:ind w:left="5259" w:hanging="360"/>
      </w:pPr>
      <w:rPr>
        <w:rFonts w:ascii="Symbol" w:hAnsi="Symbol" w:hint="default"/>
      </w:rPr>
    </w:lvl>
    <w:lvl w:ilvl="7" w:tplc="08090003" w:tentative="1">
      <w:start w:val="1"/>
      <w:numFmt w:val="bullet"/>
      <w:lvlText w:val="o"/>
      <w:lvlJc w:val="left"/>
      <w:pPr>
        <w:ind w:left="5979" w:hanging="360"/>
      </w:pPr>
      <w:rPr>
        <w:rFonts w:ascii="Courier New" w:hAnsi="Courier New" w:cs="Courier New" w:hint="default"/>
      </w:rPr>
    </w:lvl>
    <w:lvl w:ilvl="8" w:tplc="08090005" w:tentative="1">
      <w:start w:val="1"/>
      <w:numFmt w:val="bullet"/>
      <w:lvlText w:val=""/>
      <w:lvlJc w:val="left"/>
      <w:pPr>
        <w:ind w:left="6699" w:hanging="360"/>
      </w:pPr>
      <w:rPr>
        <w:rFonts w:ascii="Wingdings" w:hAnsi="Wingdings" w:hint="default"/>
      </w:rPr>
    </w:lvl>
  </w:abstractNum>
  <w:num w:numId="1" w16cid:durableId="826090153">
    <w:abstractNumId w:val="0"/>
  </w:num>
  <w:num w:numId="2" w16cid:durableId="1364214607">
    <w:abstractNumId w:val="1"/>
  </w:num>
  <w:num w:numId="3" w16cid:durableId="1444112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39"/>
    <w:rsid w:val="00073771"/>
    <w:rsid w:val="00244DD1"/>
    <w:rsid w:val="002748FC"/>
    <w:rsid w:val="00405838"/>
    <w:rsid w:val="00427743"/>
    <w:rsid w:val="004618F7"/>
    <w:rsid w:val="004C587D"/>
    <w:rsid w:val="0059286A"/>
    <w:rsid w:val="005D0392"/>
    <w:rsid w:val="006E6F31"/>
    <w:rsid w:val="0079276D"/>
    <w:rsid w:val="00794880"/>
    <w:rsid w:val="00835056"/>
    <w:rsid w:val="008931DF"/>
    <w:rsid w:val="008B4926"/>
    <w:rsid w:val="00933987"/>
    <w:rsid w:val="00955EDC"/>
    <w:rsid w:val="009E0141"/>
    <w:rsid w:val="009E03EE"/>
    <w:rsid w:val="00A20639"/>
    <w:rsid w:val="00A62392"/>
    <w:rsid w:val="00AF78B7"/>
    <w:rsid w:val="00BA21B6"/>
    <w:rsid w:val="00BF571E"/>
    <w:rsid w:val="00C97EB3"/>
    <w:rsid w:val="00DD76C6"/>
    <w:rsid w:val="00E2752E"/>
    <w:rsid w:val="00E65127"/>
    <w:rsid w:val="00EB1FEF"/>
    <w:rsid w:val="00F041AD"/>
    <w:rsid w:val="00F05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B8465C"/>
  <w15:chartTrackingRefBased/>
  <w15:docId w15:val="{3AA251F4-C2A5-44E7-8ED2-CFC7339C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8FC"/>
    <w:pPr>
      <w:spacing w:after="0"/>
      <w:ind w:left="360"/>
    </w:pPr>
    <w:rPr>
      <w:color w:val="404040" w:themeColor="text1" w:themeTint="BF"/>
      <w:lang w:val="en-US"/>
    </w:rPr>
  </w:style>
  <w:style w:type="paragraph" w:styleId="Heading1">
    <w:name w:val="heading 1"/>
    <w:basedOn w:val="Normal"/>
    <w:next w:val="Normal"/>
    <w:link w:val="Heading1Char"/>
    <w:uiPriority w:val="9"/>
    <w:qFormat/>
    <w:rsid w:val="002748FC"/>
    <w:pPr>
      <w:keepNext/>
      <w:keepLines/>
      <w:spacing w:line="240" w:lineRule="auto"/>
      <w:jc w:val="center"/>
      <w:outlineLvl w:val="0"/>
    </w:pPr>
    <w:rPr>
      <w:rFonts w:eastAsiaTheme="majorEastAsia" w:cs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639"/>
    <w:pPr>
      <w:tabs>
        <w:tab w:val="center" w:pos="4513"/>
        <w:tab w:val="right" w:pos="9026"/>
      </w:tabs>
      <w:spacing w:line="240" w:lineRule="auto"/>
    </w:pPr>
  </w:style>
  <w:style w:type="character" w:customStyle="1" w:styleId="HeaderChar">
    <w:name w:val="Header Char"/>
    <w:basedOn w:val="DefaultParagraphFont"/>
    <w:link w:val="Header"/>
    <w:uiPriority w:val="99"/>
    <w:rsid w:val="00A20639"/>
  </w:style>
  <w:style w:type="paragraph" w:styleId="Footer">
    <w:name w:val="footer"/>
    <w:basedOn w:val="Normal"/>
    <w:link w:val="FooterChar"/>
    <w:uiPriority w:val="99"/>
    <w:unhideWhenUsed/>
    <w:rsid w:val="00A20639"/>
    <w:pPr>
      <w:tabs>
        <w:tab w:val="center" w:pos="4513"/>
        <w:tab w:val="right" w:pos="9026"/>
      </w:tabs>
      <w:spacing w:line="240" w:lineRule="auto"/>
    </w:pPr>
  </w:style>
  <w:style w:type="character" w:customStyle="1" w:styleId="FooterChar">
    <w:name w:val="Footer Char"/>
    <w:basedOn w:val="DefaultParagraphFont"/>
    <w:link w:val="Footer"/>
    <w:uiPriority w:val="99"/>
    <w:rsid w:val="00A20639"/>
  </w:style>
  <w:style w:type="character" w:customStyle="1" w:styleId="Heading1Char">
    <w:name w:val="Heading 1 Char"/>
    <w:basedOn w:val="DefaultParagraphFont"/>
    <w:link w:val="Heading1"/>
    <w:uiPriority w:val="9"/>
    <w:rsid w:val="002748FC"/>
    <w:rPr>
      <w:rFonts w:eastAsiaTheme="majorEastAsia" w:cstheme="minorHAnsi"/>
      <w:b/>
      <w:bCs/>
      <w:color w:val="404040" w:themeColor="text1" w:themeTint="BF"/>
      <w:sz w:val="36"/>
      <w:szCs w:val="36"/>
      <w:lang w:val="en-US"/>
    </w:rPr>
  </w:style>
  <w:style w:type="paragraph" w:styleId="ListParagraph">
    <w:name w:val="List Paragraph"/>
    <w:basedOn w:val="Normal"/>
    <w:uiPriority w:val="34"/>
    <w:qFormat/>
    <w:rsid w:val="002748FC"/>
    <w:pPr>
      <w:ind w:left="720"/>
      <w:contextualSpacing/>
    </w:pPr>
  </w:style>
  <w:style w:type="table" w:styleId="TableGrid">
    <w:name w:val="Table Grid"/>
    <w:basedOn w:val="TableNormal"/>
    <w:uiPriority w:val="39"/>
    <w:rsid w:val="00073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kai@hrbusinessadvice.com</dc:creator>
  <cp:keywords/>
  <dc:description/>
  <cp:lastModifiedBy>Sean Whittle</cp:lastModifiedBy>
  <cp:revision>5</cp:revision>
  <cp:lastPrinted>2019-09-10T13:07:00Z</cp:lastPrinted>
  <dcterms:created xsi:type="dcterms:W3CDTF">2020-12-29T13:36:00Z</dcterms:created>
  <dcterms:modified xsi:type="dcterms:W3CDTF">2024-01-04T09:09:00Z</dcterms:modified>
</cp:coreProperties>
</file>