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2D5F" w14:textId="77777777" w:rsidR="00FB35D6" w:rsidRPr="009F6668" w:rsidRDefault="009F6668">
      <w:pPr>
        <w:jc w:val="center"/>
        <w:rPr>
          <w:rFonts w:ascii="Verdana" w:hAnsi="Verdana" w:cs="Arial"/>
          <w:b/>
          <w:bCs/>
          <w:sz w:val="28"/>
        </w:rPr>
      </w:pPr>
      <w:r w:rsidRPr="009F6668">
        <w:rPr>
          <w:rFonts w:ascii="Verdana" w:hAnsi="Verdana" w:cs="Arial"/>
          <w:b/>
          <w:bCs/>
          <w:sz w:val="28"/>
        </w:rPr>
        <w:t>Register of Legal and Other Requirements</w:t>
      </w:r>
    </w:p>
    <w:p w14:paraId="20D42D60" w14:textId="77777777" w:rsidR="00FB35D6" w:rsidRDefault="00FB35D6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1814"/>
        <w:gridCol w:w="2963"/>
        <w:gridCol w:w="2565"/>
      </w:tblGrid>
      <w:tr w:rsidR="009F6668" w14:paraId="20D42D65" w14:textId="77777777" w:rsidTr="009D0218">
        <w:trPr>
          <w:trHeight w:val="939"/>
        </w:trPr>
        <w:tc>
          <w:tcPr>
            <w:tcW w:w="2865" w:type="dxa"/>
            <w:vAlign w:val="center"/>
          </w:tcPr>
          <w:p w14:paraId="20D42D61" w14:textId="77777777" w:rsidR="009F6668" w:rsidRPr="00131DB5" w:rsidRDefault="009F6668" w:rsidP="0019717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131DB5">
              <w:rPr>
                <w:rFonts w:ascii="Arial" w:hAnsi="Arial" w:cs="Arial"/>
                <w:b/>
                <w:sz w:val="22"/>
                <w:szCs w:val="22"/>
              </w:rPr>
              <w:t>Legislation</w:t>
            </w:r>
          </w:p>
        </w:tc>
        <w:tc>
          <w:tcPr>
            <w:tcW w:w="1814" w:type="dxa"/>
            <w:vAlign w:val="center"/>
          </w:tcPr>
          <w:p w14:paraId="20D42D62" w14:textId="77777777" w:rsidR="009F6668" w:rsidRPr="00131DB5" w:rsidRDefault="009F6668" w:rsidP="0019717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131DB5">
              <w:rPr>
                <w:rFonts w:ascii="Arial" w:hAnsi="Arial" w:cs="Arial"/>
                <w:b/>
                <w:sz w:val="22"/>
                <w:szCs w:val="22"/>
              </w:rPr>
              <w:t>Regulator</w:t>
            </w:r>
          </w:p>
        </w:tc>
        <w:tc>
          <w:tcPr>
            <w:tcW w:w="2963" w:type="dxa"/>
            <w:vAlign w:val="center"/>
          </w:tcPr>
          <w:p w14:paraId="20D42D63" w14:textId="77777777" w:rsidR="009F6668" w:rsidRPr="00131DB5" w:rsidRDefault="009F6668" w:rsidP="009F6668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131DB5">
              <w:rPr>
                <w:rFonts w:ascii="Arial" w:hAnsi="Arial" w:cs="Arial"/>
                <w:b/>
                <w:sz w:val="22"/>
                <w:szCs w:val="22"/>
              </w:rPr>
              <w:t>Comments</w:t>
            </w:r>
            <w:r w:rsidR="00197170" w:rsidRPr="00131DB5">
              <w:rPr>
                <w:rFonts w:ascii="Arial" w:hAnsi="Arial" w:cs="Arial"/>
                <w:b/>
                <w:sz w:val="22"/>
                <w:szCs w:val="22"/>
              </w:rPr>
              <w:t xml:space="preserve"> / means of </w:t>
            </w:r>
            <w:r w:rsidR="00B96799" w:rsidRPr="00131DB5">
              <w:rPr>
                <w:rFonts w:ascii="Arial" w:hAnsi="Arial" w:cs="Arial"/>
                <w:b/>
                <w:sz w:val="22"/>
                <w:szCs w:val="22"/>
              </w:rPr>
              <w:t>compliance</w:t>
            </w:r>
          </w:p>
        </w:tc>
        <w:tc>
          <w:tcPr>
            <w:tcW w:w="2565" w:type="dxa"/>
            <w:vAlign w:val="center"/>
          </w:tcPr>
          <w:p w14:paraId="20D42D64" w14:textId="77777777" w:rsidR="009F6668" w:rsidRPr="00131DB5" w:rsidRDefault="00197170" w:rsidP="009F6668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131DB5">
              <w:rPr>
                <w:rFonts w:ascii="Arial" w:hAnsi="Arial" w:cs="Arial"/>
                <w:b/>
                <w:sz w:val="22"/>
                <w:szCs w:val="22"/>
              </w:rPr>
              <w:t xml:space="preserve">Method / </w:t>
            </w:r>
            <w:r w:rsidR="009F6668" w:rsidRPr="00131DB5">
              <w:rPr>
                <w:rFonts w:ascii="Arial" w:hAnsi="Arial" w:cs="Arial"/>
                <w:b/>
                <w:sz w:val="22"/>
                <w:szCs w:val="22"/>
              </w:rPr>
              <w:t>Record maintained to ensure legal compliance</w:t>
            </w:r>
          </w:p>
        </w:tc>
      </w:tr>
      <w:tr w:rsidR="00717B77" w:rsidRPr="00131DB5" w14:paraId="20D42D6D" w14:textId="77777777" w:rsidTr="009D0218">
        <w:trPr>
          <w:trHeight w:val="1701"/>
        </w:trPr>
        <w:tc>
          <w:tcPr>
            <w:tcW w:w="2865" w:type="dxa"/>
            <w:vAlign w:val="center"/>
          </w:tcPr>
          <w:p w14:paraId="20D42D66" w14:textId="77777777" w:rsidR="00717B77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Environmental Protection Act 1990 -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DB5">
              <w:rPr>
                <w:rFonts w:ascii="Arial" w:hAnsi="Arial" w:cs="Arial"/>
                <w:sz w:val="20"/>
                <w:szCs w:val="20"/>
              </w:rPr>
              <w:t>Part 2</w:t>
            </w:r>
          </w:p>
          <w:p w14:paraId="20D42D67" w14:textId="77777777" w:rsidR="00717B77" w:rsidRPr="00131DB5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(Waste Duty of Care Code of Practice)</w:t>
            </w:r>
          </w:p>
        </w:tc>
        <w:tc>
          <w:tcPr>
            <w:tcW w:w="1814" w:type="dxa"/>
            <w:vAlign w:val="center"/>
          </w:tcPr>
          <w:p w14:paraId="20D42D68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69" w14:textId="77777777" w:rsidR="00717B77" w:rsidRPr="00275F05" w:rsidRDefault="00717B77" w:rsidP="00170F8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Requirement to dispose of waste through proper duty of care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5F05">
              <w:rPr>
                <w:rFonts w:ascii="Arial" w:hAnsi="Arial" w:cs="Arial"/>
                <w:color w:val="000000"/>
                <w:sz w:val="20"/>
                <w:szCs w:val="20"/>
              </w:rPr>
              <w:t>This applies to you if you produce, carry, keep, dispose of, treat, import or have control of waste in England or Wales.</w:t>
            </w:r>
          </w:p>
          <w:p w14:paraId="20D42D6A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275F05">
              <w:rPr>
                <w:rFonts w:ascii="Arial" w:hAnsi="Arial" w:cs="Arial"/>
                <w:color w:val="000000"/>
                <w:sz w:val="20"/>
                <w:szCs w:val="20"/>
              </w:rPr>
              <w:t>The law requires anyone dealing with waste to keep it safe, make sure it is dealt with responsibly and only given to businesses authorized to take it.</w:t>
            </w:r>
          </w:p>
        </w:tc>
        <w:tc>
          <w:tcPr>
            <w:tcW w:w="2565" w:type="dxa"/>
            <w:vAlign w:val="center"/>
          </w:tcPr>
          <w:p w14:paraId="20D42D6B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Waste Transfer Notes</w:t>
            </w:r>
          </w:p>
          <w:p w14:paraId="20D42D6C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Obtainment of Waste Management / Carrier Licenses and Environmental Permits</w:t>
            </w:r>
          </w:p>
        </w:tc>
      </w:tr>
      <w:tr w:rsidR="00717B77" w:rsidRPr="00131DB5" w14:paraId="20D42D72" w14:textId="77777777" w:rsidTr="009D0218">
        <w:trPr>
          <w:trHeight w:val="1117"/>
        </w:trPr>
        <w:tc>
          <w:tcPr>
            <w:tcW w:w="2865" w:type="dxa"/>
            <w:vAlign w:val="center"/>
          </w:tcPr>
          <w:p w14:paraId="20D42D6E" w14:textId="77777777" w:rsidR="00717B77" w:rsidRPr="00131DB5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Environmental Protection Act 1990 -Part 3</w:t>
            </w:r>
          </w:p>
        </w:tc>
        <w:tc>
          <w:tcPr>
            <w:tcW w:w="1814" w:type="dxa"/>
            <w:vAlign w:val="center"/>
          </w:tcPr>
          <w:p w14:paraId="20D42D6F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70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 xml:space="preserve">Requirement for clarifying statutory nuisance e.g. noise and </w:t>
            </w:r>
            <w:proofErr w:type="spellStart"/>
            <w:r w:rsidRPr="00131DB5">
              <w:rPr>
                <w:rFonts w:ascii="Arial" w:hAnsi="Arial" w:cs="Arial"/>
                <w:sz w:val="20"/>
                <w:szCs w:val="20"/>
              </w:rPr>
              <w:t>odour’s</w:t>
            </w:r>
            <w:proofErr w:type="spellEnd"/>
            <w:r w:rsidRPr="00131DB5">
              <w:rPr>
                <w:rFonts w:ascii="Arial" w:hAnsi="Arial" w:cs="Arial"/>
                <w:sz w:val="20"/>
                <w:szCs w:val="20"/>
              </w:rPr>
              <w:t xml:space="preserve"> from our premises</w:t>
            </w:r>
          </w:p>
        </w:tc>
        <w:tc>
          <w:tcPr>
            <w:tcW w:w="2565" w:type="dxa"/>
            <w:vAlign w:val="center"/>
          </w:tcPr>
          <w:p w14:paraId="20D42D71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Internal audit checks</w:t>
            </w:r>
          </w:p>
        </w:tc>
      </w:tr>
      <w:tr w:rsidR="00B96799" w:rsidRPr="00131DB5" w14:paraId="20D42D77" w14:textId="77777777" w:rsidTr="009D0218">
        <w:trPr>
          <w:trHeight w:val="1124"/>
        </w:trPr>
        <w:tc>
          <w:tcPr>
            <w:tcW w:w="2865" w:type="dxa"/>
            <w:vAlign w:val="center"/>
          </w:tcPr>
          <w:p w14:paraId="20D42D73" w14:textId="77777777" w:rsidR="00B96799" w:rsidRPr="00131DB5" w:rsidRDefault="00B96799" w:rsidP="00B96799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List of Waste Regulations 2005</w:t>
            </w:r>
          </w:p>
        </w:tc>
        <w:tc>
          <w:tcPr>
            <w:tcW w:w="1814" w:type="dxa"/>
            <w:vAlign w:val="center"/>
          </w:tcPr>
          <w:p w14:paraId="20D42D74" w14:textId="77777777" w:rsidR="00B96799" w:rsidRPr="00131DB5" w:rsidRDefault="00B96799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75" w14:textId="77777777" w:rsidR="00B96799" w:rsidRPr="00131DB5" w:rsidRDefault="00B96799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Clarification of wastes being collected and disposed using the European Waste Catalogue</w:t>
            </w:r>
          </w:p>
        </w:tc>
        <w:tc>
          <w:tcPr>
            <w:tcW w:w="2565" w:type="dxa"/>
            <w:vAlign w:val="center"/>
          </w:tcPr>
          <w:p w14:paraId="20D42D76" w14:textId="77777777" w:rsidR="00B96799" w:rsidRPr="00131DB5" w:rsidRDefault="00B96799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EWC Codes on the waste transfer / consignment notes</w:t>
            </w:r>
          </w:p>
        </w:tc>
      </w:tr>
      <w:tr w:rsidR="00B96799" w:rsidRPr="00131DB5" w14:paraId="20D42D7C" w14:textId="77777777" w:rsidTr="009D0218">
        <w:trPr>
          <w:trHeight w:val="1268"/>
        </w:trPr>
        <w:tc>
          <w:tcPr>
            <w:tcW w:w="2865" w:type="dxa"/>
            <w:vAlign w:val="center"/>
          </w:tcPr>
          <w:p w14:paraId="20D42D78" w14:textId="77777777" w:rsidR="00B96799" w:rsidRPr="00131DB5" w:rsidRDefault="00B96799" w:rsidP="00B96799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Hazardous Waste Regulations 2005</w:t>
            </w:r>
          </w:p>
        </w:tc>
        <w:tc>
          <w:tcPr>
            <w:tcW w:w="1814" w:type="dxa"/>
            <w:vAlign w:val="center"/>
          </w:tcPr>
          <w:p w14:paraId="20D42D79" w14:textId="77777777" w:rsidR="00B96799" w:rsidRPr="00131DB5" w:rsidRDefault="00B96799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7A" w14:textId="77777777" w:rsidR="00B96799" w:rsidRPr="00131DB5" w:rsidRDefault="00B96799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Hazardous Waste will be dealt with accordingly and appropriately with waste consignment notes maintained.</w:t>
            </w:r>
          </w:p>
        </w:tc>
        <w:tc>
          <w:tcPr>
            <w:tcW w:w="2565" w:type="dxa"/>
            <w:vAlign w:val="center"/>
          </w:tcPr>
          <w:p w14:paraId="20D42D7B" w14:textId="77777777" w:rsidR="00B96799" w:rsidRPr="00131DB5" w:rsidRDefault="00B96799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Waste Consignment Notes</w:t>
            </w:r>
          </w:p>
        </w:tc>
      </w:tr>
      <w:tr w:rsidR="00717B77" w:rsidRPr="00131DB5" w14:paraId="20D42D83" w14:textId="77777777" w:rsidTr="009D0218">
        <w:trPr>
          <w:trHeight w:val="1825"/>
        </w:trPr>
        <w:tc>
          <w:tcPr>
            <w:tcW w:w="2865" w:type="dxa"/>
            <w:vAlign w:val="center"/>
          </w:tcPr>
          <w:p w14:paraId="20D42D7D" w14:textId="77777777" w:rsidR="00717B77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Hazardous W</w:t>
            </w:r>
            <w:r w:rsidRPr="00131DB5">
              <w:rPr>
                <w:rFonts w:ascii="Arial" w:hAnsi="Arial" w:cs="Arial"/>
                <w:sz w:val="20"/>
                <w:szCs w:val="20"/>
              </w:rPr>
              <w:t xml:space="preserve">aste </w:t>
            </w:r>
            <w:r>
              <w:rPr>
                <w:rFonts w:ascii="Arial" w:hAnsi="Arial" w:cs="Arial"/>
                <w:sz w:val="20"/>
                <w:szCs w:val="20"/>
              </w:rPr>
              <w:t>(Amendment) R</w:t>
            </w:r>
            <w:r w:rsidRPr="00131DB5">
              <w:rPr>
                <w:rFonts w:ascii="Arial" w:hAnsi="Arial" w:cs="Arial"/>
                <w:sz w:val="20"/>
                <w:szCs w:val="20"/>
              </w:rPr>
              <w:t>egulations 2009</w:t>
            </w:r>
          </w:p>
          <w:p w14:paraId="20D42D7E" w14:textId="77777777" w:rsidR="00717B77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2015)</w:t>
            </w:r>
          </w:p>
          <w:p w14:paraId="20D42D7F" w14:textId="77777777" w:rsidR="00717B77" w:rsidRPr="00131DB5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2016)</w:t>
            </w:r>
          </w:p>
        </w:tc>
        <w:tc>
          <w:tcPr>
            <w:tcW w:w="1814" w:type="dxa"/>
            <w:vAlign w:val="center"/>
          </w:tcPr>
          <w:p w14:paraId="20D42D80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81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All types of premises are now exempt from the Hazardous waste regulations and no longer have a requirement to register.</w:t>
            </w:r>
          </w:p>
        </w:tc>
        <w:tc>
          <w:tcPr>
            <w:tcW w:w="2565" w:type="dxa"/>
            <w:vAlign w:val="center"/>
          </w:tcPr>
          <w:p w14:paraId="20D42D82" w14:textId="4F92C539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Waste Consignment Notes</w:t>
            </w:r>
            <w:r>
              <w:rPr>
                <w:rFonts w:ascii="Arial" w:hAnsi="Arial" w:cs="Arial"/>
                <w:sz w:val="20"/>
                <w:szCs w:val="20"/>
              </w:rPr>
              <w:t xml:space="preserve"> - inclusion of first letters of company name instead of the premise code</w:t>
            </w:r>
          </w:p>
        </w:tc>
      </w:tr>
      <w:tr w:rsidR="00717B77" w:rsidRPr="00131DB5" w14:paraId="20D42D8B" w14:textId="77777777" w:rsidTr="009D0218">
        <w:trPr>
          <w:trHeight w:val="1110"/>
        </w:trPr>
        <w:tc>
          <w:tcPr>
            <w:tcW w:w="2865" w:type="dxa"/>
            <w:vAlign w:val="center"/>
          </w:tcPr>
          <w:p w14:paraId="20D42D84" w14:textId="77777777"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A5283">
              <w:rPr>
                <w:rFonts w:ascii="Arial" w:hAnsi="Arial" w:cs="Arial"/>
                <w:bCs/>
                <w:sz w:val="20"/>
                <w:szCs w:val="20"/>
                <w:lang w:val="en-US"/>
              </w:rPr>
              <w:t>WEEE Regulations 2013</w:t>
            </w:r>
          </w:p>
          <w:p w14:paraId="20D42D85" w14:textId="77777777" w:rsidR="00717B77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2014)</w:t>
            </w:r>
          </w:p>
          <w:p w14:paraId="20D42D86" w14:textId="77777777" w:rsidR="00717B77" w:rsidRPr="00131DB5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2015)</w:t>
            </w:r>
          </w:p>
        </w:tc>
        <w:tc>
          <w:tcPr>
            <w:tcW w:w="1814" w:type="dxa"/>
            <w:vAlign w:val="center"/>
          </w:tcPr>
          <w:p w14:paraId="20D42D87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88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Duty of care to dispose of any waste electrical products properly through recycling.</w:t>
            </w:r>
          </w:p>
        </w:tc>
        <w:tc>
          <w:tcPr>
            <w:tcW w:w="2565" w:type="dxa"/>
            <w:vAlign w:val="center"/>
          </w:tcPr>
          <w:p w14:paraId="20D42D89" w14:textId="77777777" w:rsidR="00717B77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Waste Consignment Notes for electrical waste</w:t>
            </w:r>
          </w:p>
          <w:p w14:paraId="20D42D8A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back service to clients for old products bought after 13 August 2005.</w:t>
            </w:r>
          </w:p>
        </w:tc>
      </w:tr>
      <w:tr w:rsidR="00717B77" w:rsidRPr="00131DB5" w14:paraId="20D42D96" w14:textId="77777777" w:rsidTr="009D0218">
        <w:trPr>
          <w:trHeight w:val="939"/>
        </w:trPr>
        <w:tc>
          <w:tcPr>
            <w:tcW w:w="2865" w:type="dxa"/>
            <w:vAlign w:val="center"/>
          </w:tcPr>
          <w:p w14:paraId="20D42D8C" w14:textId="77777777"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A5283">
              <w:rPr>
                <w:rFonts w:ascii="Arial" w:hAnsi="Arial" w:cs="Arial"/>
                <w:bCs/>
                <w:sz w:val="20"/>
                <w:szCs w:val="20"/>
                <w:lang w:val="en-US"/>
              </w:rPr>
              <w:t>Environme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ntal Permitting Regulations 2010</w:t>
            </w:r>
          </w:p>
          <w:p w14:paraId="20D42D8D" w14:textId="77777777"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2011)</w:t>
            </w:r>
          </w:p>
          <w:p w14:paraId="20D42D8E" w14:textId="77777777"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2012)</w:t>
            </w:r>
          </w:p>
          <w:p w14:paraId="20D42D8F" w14:textId="77777777"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2013)</w:t>
            </w:r>
          </w:p>
          <w:p w14:paraId="20D42D90" w14:textId="77777777"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2014)</w:t>
            </w:r>
          </w:p>
          <w:p w14:paraId="20D42D91" w14:textId="77777777"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2015)</w:t>
            </w:r>
          </w:p>
          <w:p w14:paraId="20D42D92" w14:textId="77777777" w:rsidR="00717B77" w:rsidRPr="00131DB5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2016)</w:t>
            </w:r>
          </w:p>
        </w:tc>
        <w:tc>
          <w:tcPr>
            <w:tcW w:w="1814" w:type="dxa"/>
            <w:vAlign w:val="center"/>
          </w:tcPr>
          <w:p w14:paraId="20D42D93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94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Requirement to pre-treat all waste, prior to it entering landfill site for disposal.</w:t>
            </w:r>
          </w:p>
        </w:tc>
        <w:tc>
          <w:tcPr>
            <w:tcW w:w="2565" w:type="dxa"/>
            <w:vAlign w:val="center"/>
          </w:tcPr>
          <w:p w14:paraId="20D42D95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Recycling activities</w:t>
            </w:r>
          </w:p>
        </w:tc>
      </w:tr>
      <w:tr w:rsidR="00717B77" w:rsidRPr="00131DB5" w14:paraId="20D42D9C" w14:textId="77777777" w:rsidTr="009D0218">
        <w:trPr>
          <w:trHeight w:val="939"/>
        </w:trPr>
        <w:tc>
          <w:tcPr>
            <w:tcW w:w="2865" w:type="dxa"/>
            <w:vAlign w:val="center"/>
          </w:tcPr>
          <w:p w14:paraId="20D42D97" w14:textId="77777777" w:rsidR="00717B77" w:rsidRPr="00131DB5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Controlled Waste (Registration of Carriers &amp; Seizures of Vehicles) 1991</w:t>
            </w:r>
          </w:p>
        </w:tc>
        <w:tc>
          <w:tcPr>
            <w:tcW w:w="1814" w:type="dxa"/>
            <w:vAlign w:val="center"/>
          </w:tcPr>
          <w:p w14:paraId="20D42D98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99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Requirement to register as a carrier of waste with the Environment Agency</w:t>
            </w:r>
          </w:p>
        </w:tc>
        <w:tc>
          <w:tcPr>
            <w:tcW w:w="2565" w:type="dxa"/>
            <w:vAlign w:val="center"/>
          </w:tcPr>
          <w:p w14:paraId="20D42D9A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Carrier License</w:t>
            </w:r>
          </w:p>
          <w:p w14:paraId="20D42D9B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(Valid for 3 years)</w:t>
            </w:r>
          </w:p>
        </w:tc>
      </w:tr>
      <w:tr w:rsidR="00150B08" w:rsidRPr="00131DB5" w14:paraId="20D42DA3" w14:textId="77777777" w:rsidTr="009D0218">
        <w:trPr>
          <w:trHeight w:val="1515"/>
        </w:trPr>
        <w:tc>
          <w:tcPr>
            <w:tcW w:w="2865" w:type="dxa"/>
            <w:vAlign w:val="center"/>
          </w:tcPr>
          <w:p w14:paraId="20D42D9D" w14:textId="77777777" w:rsidR="00150B08" w:rsidRDefault="00150B08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Waste Batteries and Accumulators Regulations 2009</w:t>
            </w:r>
          </w:p>
          <w:p w14:paraId="20D42D9E" w14:textId="77777777" w:rsidR="00150B08" w:rsidRDefault="00150B08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2011)</w:t>
            </w:r>
          </w:p>
          <w:p w14:paraId="20D42D9F" w14:textId="77777777" w:rsidR="00150B08" w:rsidRPr="002A5283" w:rsidRDefault="00150B08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2015)</w:t>
            </w:r>
          </w:p>
        </w:tc>
        <w:tc>
          <w:tcPr>
            <w:tcW w:w="1814" w:type="dxa"/>
            <w:vAlign w:val="center"/>
          </w:tcPr>
          <w:p w14:paraId="20D42DA0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A1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Requirements for the safe disposal of waste batteries</w:t>
            </w:r>
          </w:p>
        </w:tc>
        <w:tc>
          <w:tcPr>
            <w:tcW w:w="2565" w:type="dxa"/>
            <w:vAlign w:val="center"/>
          </w:tcPr>
          <w:p w14:paraId="20D42DA2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Consignment notes</w:t>
            </w:r>
          </w:p>
        </w:tc>
      </w:tr>
      <w:tr w:rsidR="00C50CAE" w:rsidRPr="00131DB5" w14:paraId="20D42DA8" w14:textId="77777777" w:rsidTr="009D0218">
        <w:trPr>
          <w:trHeight w:val="1515"/>
        </w:trPr>
        <w:tc>
          <w:tcPr>
            <w:tcW w:w="2865" w:type="dxa"/>
            <w:vAlign w:val="center"/>
          </w:tcPr>
          <w:p w14:paraId="20D42DA4" w14:textId="77777777" w:rsidR="00C50CAE" w:rsidRDefault="00C50CAE" w:rsidP="00B318A4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Resources Act 1991</w:t>
            </w:r>
          </w:p>
        </w:tc>
        <w:tc>
          <w:tcPr>
            <w:tcW w:w="1814" w:type="dxa"/>
            <w:vAlign w:val="center"/>
          </w:tcPr>
          <w:p w14:paraId="20D42DA5" w14:textId="77777777" w:rsidR="00C50CAE" w:rsidRDefault="00C50CAE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A6" w14:textId="77777777" w:rsidR="00C50CAE" w:rsidRDefault="00C50CAE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Sets up the regime to conserve, manage and control pollution of water resources. It makes the producer of a spillage liable to prosecution</w:t>
            </w:r>
          </w:p>
        </w:tc>
        <w:tc>
          <w:tcPr>
            <w:tcW w:w="2565" w:type="dxa"/>
            <w:vAlign w:val="center"/>
          </w:tcPr>
          <w:p w14:paraId="20D42DA7" w14:textId="77777777" w:rsidR="00C50CAE" w:rsidRDefault="00C50CAE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 Reports</w:t>
            </w:r>
          </w:p>
        </w:tc>
      </w:tr>
      <w:tr w:rsidR="00665B89" w:rsidRPr="00131DB5" w14:paraId="20D42DAE" w14:textId="77777777" w:rsidTr="009D0218">
        <w:trPr>
          <w:trHeight w:val="1515"/>
        </w:trPr>
        <w:tc>
          <w:tcPr>
            <w:tcW w:w="2865" w:type="dxa"/>
            <w:vAlign w:val="center"/>
          </w:tcPr>
          <w:p w14:paraId="20D42DA9" w14:textId="77777777" w:rsidR="00665B89" w:rsidRDefault="00665B89" w:rsidP="00665B89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Noise Regulations 2006</w:t>
            </w:r>
          </w:p>
        </w:tc>
        <w:tc>
          <w:tcPr>
            <w:tcW w:w="1814" w:type="dxa"/>
            <w:vAlign w:val="center"/>
          </w:tcPr>
          <w:p w14:paraId="20D42DAA" w14:textId="77777777" w:rsidR="00665B89" w:rsidRPr="00B96799" w:rsidRDefault="00665B89" w:rsidP="00665B8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AB" w14:textId="77777777" w:rsidR="00665B89" w:rsidRDefault="00665B89" w:rsidP="00665B8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levels within the works area to remain minimal and low as possible and in accordance with government schemes</w:t>
            </w:r>
          </w:p>
        </w:tc>
        <w:tc>
          <w:tcPr>
            <w:tcW w:w="2565" w:type="dxa"/>
            <w:vAlign w:val="center"/>
          </w:tcPr>
          <w:p w14:paraId="20D42DAC" w14:textId="77777777" w:rsidR="00150B08" w:rsidRDefault="00150B08" w:rsidP="00150B08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complaints (where received)</w:t>
            </w:r>
          </w:p>
          <w:p w14:paraId="20D42DAD" w14:textId="77777777" w:rsidR="00665B89" w:rsidRDefault="00150B08" w:rsidP="00150B08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plans – management plans as necessary</w:t>
            </w:r>
          </w:p>
        </w:tc>
      </w:tr>
      <w:tr w:rsidR="00717B77" w:rsidRPr="00131DB5" w14:paraId="20D42DB5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DAF" w14:textId="77777777" w:rsidR="00150B08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Life Vehicle Regulations 2003</w:t>
            </w:r>
          </w:p>
          <w:p w14:paraId="20D42DB0" w14:textId="77777777" w:rsidR="00717B77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2010)</w:t>
            </w:r>
          </w:p>
        </w:tc>
        <w:tc>
          <w:tcPr>
            <w:tcW w:w="1814" w:type="dxa"/>
            <w:vAlign w:val="center"/>
          </w:tcPr>
          <w:p w14:paraId="20D42DB1" w14:textId="77777777" w:rsidR="00717B77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B2" w14:textId="77777777" w:rsidR="00717B77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safely dispose of all vehicles</w:t>
            </w:r>
          </w:p>
        </w:tc>
        <w:tc>
          <w:tcPr>
            <w:tcW w:w="2565" w:type="dxa"/>
            <w:vAlign w:val="center"/>
          </w:tcPr>
          <w:p w14:paraId="20D42DB3" w14:textId="77777777" w:rsidR="00717B77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competent contractor</w:t>
            </w:r>
          </w:p>
          <w:p w14:paraId="20D42DB4" w14:textId="77777777" w:rsidR="00717B77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 consignment note</w:t>
            </w:r>
          </w:p>
        </w:tc>
      </w:tr>
      <w:tr w:rsidR="00150B08" w:rsidRPr="00131DB5" w14:paraId="20D42DBA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DB6" w14:textId="77777777"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of Pollution (Oil Storage) (England) Regulations 2001</w:t>
            </w:r>
          </w:p>
        </w:tc>
        <w:tc>
          <w:tcPr>
            <w:tcW w:w="1814" w:type="dxa"/>
            <w:vAlign w:val="center"/>
          </w:tcPr>
          <w:p w14:paraId="20D42DB7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B8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Requirements for the storage of oils including requirements for secondary containment up to 110%</w:t>
            </w:r>
          </w:p>
        </w:tc>
        <w:tc>
          <w:tcPr>
            <w:tcW w:w="2565" w:type="dxa"/>
            <w:vAlign w:val="center"/>
          </w:tcPr>
          <w:p w14:paraId="20D42DB9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containment, prevention of pollution</w:t>
            </w:r>
          </w:p>
        </w:tc>
      </w:tr>
      <w:tr w:rsidR="00150B08" w:rsidRPr="00131DB5" w14:paraId="20D42DC9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DBB" w14:textId="77777777" w:rsidR="00150B08" w:rsidRDefault="00150B08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A5283">
              <w:rPr>
                <w:rFonts w:ascii="Arial" w:hAnsi="Arial" w:cs="Arial"/>
                <w:bCs/>
                <w:sz w:val="20"/>
                <w:szCs w:val="20"/>
                <w:lang w:val="en-US"/>
              </w:rPr>
              <w:t>Waste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(England and Wales)</w:t>
            </w:r>
            <w:r w:rsidRPr="002A528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Regulations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2011</w:t>
            </w:r>
          </w:p>
          <w:p w14:paraId="20D42DBC" w14:textId="77777777" w:rsidR="00150B08" w:rsidRDefault="00150B08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2012)</w:t>
            </w:r>
          </w:p>
          <w:p w14:paraId="20D42DBD" w14:textId="77777777" w:rsidR="00150B08" w:rsidRDefault="00150B08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2014)</w:t>
            </w:r>
          </w:p>
          <w:p w14:paraId="20D42DBE" w14:textId="77777777" w:rsidR="00150B08" w:rsidRDefault="00150B08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20D42DBF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C0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apply the waste hierarchy when transferring waste. This is as follows;</w:t>
            </w:r>
          </w:p>
          <w:p w14:paraId="20D42DC1" w14:textId="77777777" w:rsidR="00150B08" w:rsidRDefault="00150B08" w:rsidP="00170F82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Prevention</w:t>
            </w:r>
          </w:p>
          <w:p w14:paraId="20D42DC2" w14:textId="77777777" w:rsidR="00150B08" w:rsidRDefault="00150B08" w:rsidP="00170F82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Preparing for re-use</w:t>
            </w:r>
          </w:p>
          <w:p w14:paraId="20D42DC3" w14:textId="77777777" w:rsidR="00150B08" w:rsidRDefault="00150B08" w:rsidP="00170F82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Recycling</w:t>
            </w:r>
          </w:p>
          <w:p w14:paraId="20D42DC4" w14:textId="77777777" w:rsidR="00150B08" w:rsidRDefault="00150B08" w:rsidP="00170F82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Recovery e.g. energy recovery</w:t>
            </w:r>
          </w:p>
          <w:p w14:paraId="20D42DC5" w14:textId="77777777" w:rsidR="00150B08" w:rsidRPr="004A4B83" w:rsidRDefault="00150B08" w:rsidP="00170F82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Disposal</w:t>
            </w:r>
          </w:p>
        </w:tc>
        <w:tc>
          <w:tcPr>
            <w:tcW w:w="2565" w:type="dxa"/>
            <w:vAlign w:val="center"/>
          </w:tcPr>
          <w:p w14:paraId="20D42DC6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 consignment transfer note</w:t>
            </w:r>
          </w:p>
          <w:p w14:paraId="20D42DC7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DC8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Recycling activities</w:t>
            </w:r>
          </w:p>
        </w:tc>
      </w:tr>
      <w:tr w:rsidR="009929DB" w:rsidRPr="00131DB5" w14:paraId="20D42DCE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DCA" w14:textId="77777777" w:rsidR="009929DB" w:rsidRPr="00B96799" w:rsidRDefault="009929DB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 xml:space="preserve">Control of Asbestos at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1464A">
              <w:rPr>
                <w:rFonts w:ascii="Arial" w:hAnsi="Arial" w:cs="Arial"/>
                <w:sz w:val="20"/>
                <w:szCs w:val="20"/>
              </w:rPr>
              <w:t>ork Regulations 2012</w:t>
            </w:r>
          </w:p>
        </w:tc>
        <w:tc>
          <w:tcPr>
            <w:tcW w:w="1814" w:type="dxa"/>
            <w:vAlign w:val="center"/>
          </w:tcPr>
          <w:p w14:paraId="20D42DCB" w14:textId="77777777" w:rsidR="009929DB" w:rsidRPr="00B96799" w:rsidRDefault="009929DB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DCC" w14:textId="77777777" w:rsidR="009929DB" w:rsidRPr="00B96799" w:rsidRDefault="009929DB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 xml:space="preserve">Requirement to be aware of asbestos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96799">
              <w:rPr>
                <w:rFonts w:ascii="Arial" w:hAnsi="Arial" w:cs="Arial"/>
                <w:sz w:val="20"/>
                <w:szCs w:val="20"/>
              </w:rPr>
              <w:t xml:space="preserve">ACM’S) locations where required. </w:t>
            </w:r>
          </w:p>
        </w:tc>
        <w:tc>
          <w:tcPr>
            <w:tcW w:w="2565" w:type="dxa"/>
            <w:vAlign w:val="center"/>
          </w:tcPr>
          <w:p w14:paraId="20D42DCD" w14:textId="77777777" w:rsidR="009929DB" w:rsidRPr="00B96799" w:rsidRDefault="009929DB" w:rsidP="00665B8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6799">
              <w:rPr>
                <w:rFonts w:ascii="Arial" w:hAnsi="Arial" w:cs="Arial"/>
                <w:sz w:val="20"/>
                <w:szCs w:val="20"/>
              </w:rPr>
              <w:t>Tool Box</w:t>
            </w:r>
            <w:proofErr w:type="gramEnd"/>
            <w:r w:rsidRPr="00B96799">
              <w:rPr>
                <w:rFonts w:ascii="Arial" w:hAnsi="Arial" w:cs="Arial"/>
                <w:sz w:val="20"/>
                <w:szCs w:val="20"/>
              </w:rPr>
              <w:t xml:space="preserve"> talks / Training &amp; Awareness</w:t>
            </w:r>
          </w:p>
        </w:tc>
      </w:tr>
      <w:tr w:rsidR="007C25EA" w:rsidRPr="00131DB5" w14:paraId="20D42DD3" w14:textId="77777777" w:rsidTr="009D0218">
        <w:trPr>
          <w:trHeight w:val="1418"/>
        </w:trPr>
        <w:tc>
          <w:tcPr>
            <w:tcW w:w="2865" w:type="dxa"/>
            <w:vAlign w:val="center"/>
          </w:tcPr>
          <w:p w14:paraId="20D42DCF" w14:textId="77777777" w:rsidR="007C25EA" w:rsidRPr="007C25EA" w:rsidRDefault="007C25EA" w:rsidP="001C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EA">
              <w:rPr>
                <w:rFonts w:ascii="Arial" w:hAnsi="Arial" w:cs="Arial"/>
                <w:sz w:val="20"/>
                <w:szCs w:val="20"/>
              </w:rPr>
              <w:t xml:space="preserve">The health and safety (miscellaneous repeals, revocations and amendments) 2013 </w:t>
            </w:r>
          </w:p>
        </w:tc>
        <w:tc>
          <w:tcPr>
            <w:tcW w:w="1814" w:type="dxa"/>
            <w:vAlign w:val="center"/>
          </w:tcPr>
          <w:p w14:paraId="20D42DD0" w14:textId="77777777" w:rsidR="007C25EA" w:rsidRPr="007C25EA" w:rsidRDefault="007C25EA" w:rsidP="001C7EE8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7C25EA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DD1" w14:textId="77777777" w:rsidR="007C25EA" w:rsidRPr="007C25EA" w:rsidRDefault="007C25EA" w:rsidP="001C7EE8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7C25EA">
              <w:rPr>
                <w:rFonts w:ascii="Arial" w:hAnsi="Arial" w:cs="Arial"/>
                <w:sz w:val="20"/>
                <w:szCs w:val="20"/>
              </w:rPr>
              <w:t>Revokes and repeals various piece of legislation including the head protection regulations</w:t>
            </w:r>
          </w:p>
        </w:tc>
        <w:tc>
          <w:tcPr>
            <w:tcW w:w="2565" w:type="dxa"/>
            <w:vAlign w:val="center"/>
          </w:tcPr>
          <w:p w14:paraId="20D42DD2" w14:textId="77777777" w:rsidR="007C25EA" w:rsidRPr="007C25EA" w:rsidRDefault="007C25EA" w:rsidP="001C7EE8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7C25EA">
              <w:rPr>
                <w:rFonts w:ascii="Arial" w:hAnsi="Arial" w:cs="Arial"/>
                <w:sz w:val="20"/>
                <w:szCs w:val="20"/>
              </w:rPr>
              <w:t>PPE records</w:t>
            </w:r>
          </w:p>
        </w:tc>
      </w:tr>
      <w:tr w:rsidR="007C25EA" w:rsidRPr="00131DB5" w14:paraId="20D42DD8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DD4" w14:textId="77777777" w:rsidR="007C25EA" w:rsidRPr="00B96799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The Control of Vibration at Work Regulations 2005</w:t>
            </w:r>
          </w:p>
        </w:tc>
        <w:tc>
          <w:tcPr>
            <w:tcW w:w="1814" w:type="dxa"/>
            <w:vAlign w:val="center"/>
          </w:tcPr>
          <w:p w14:paraId="20D42DD5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DD6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Requirement to control and assess exposure to vibration levels and to keep it to a minimum.</w:t>
            </w:r>
          </w:p>
        </w:tc>
        <w:tc>
          <w:tcPr>
            <w:tcW w:w="2565" w:type="dxa"/>
            <w:vAlign w:val="center"/>
          </w:tcPr>
          <w:p w14:paraId="20D42DD7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Considered in r</w:t>
            </w:r>
            <w:r w:rsidRPr="00B96799">
              <w:rPr>
                <w:rFonts w:ascii="Arial" w:hAnsi="Arial" w:cs="Arial"/>
                <w:sz w:val="20"/>
                <w:szCs w:val="20"/>
              </w:rPr>
              <w:t>isk assessments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suitable control measures implemented</w:t>
            </w:r>
          </w:p>
        </w:tc>
      </w:tr>
      <w:tr w:rsidR="007C25EA" w:rsidRPr="00131DB5" w14:paraId="20D42DDD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DD9" w14:textId="77777777" w:rsidR="007C25EA" w:rsidRPr="00B96799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The Control of Noise at Work Regulations 2005</w:t>
            </w:r>
          </w:p>
        </w:tc>
        <w:tc>
          <w:tcPr>
            <w:tcW w:w="1814" w:type="dxa"/>
            <w:vAlign w:val="center"/>
          </w:tcPr>
          <w:p w14:paraId="20D42DDA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DDB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Established noise action levels to ensure that exposure to noise is kept to a minimum</w:t>
            </w:r>
          </w:p>
        </w:tc>
        <w:tc>
          <w:tcPr>
            <w:tcW w:w="2565" w:type="dxa"/>
            <w:vAlign w:val="center"/>
          </w:tcPr>
          <w:p w14:paraId="20D42DDC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Considered in r</w:t>
            </w:r>
            <w:r w:rsidRPr="00B96799">
              <w:rPr>
                <w:rFonts w:ascii="Arial" w:hAnsi="Arial" w:cs="Arial"/>
                <w:sz w:val="20"/>
                <w:szCs w:val="20"/>
              </w:rPr>
              <w:t>isk assessments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suitable control measures implemented</w:t>
            </w:r>
          </w:p>
        </w:tc>
      </w:tr>
      <w:tr w:rsidR="007C25EA" w:rsidRPr="00131DB5" w14:paraId="20D42DE2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DDE" w14:textId="77777777" w:rsidR="007C25EA" w:rsidRPr="00B96799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lastRenderedPageBreak/>
              <w:t>The Personal Protective Equipment at Work regulations 1992</w:t>
            </w:r>
          </w:p>
        </w:tc>
        <w:tc>
          <w:tcPr>
            <w:tcW w:w="1814" w:type="dxa"/>
            <w:vAlign w:val="center"/>
          </w:tcPr>
          <w:p w14:paraId="20D42DDF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DE0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 xml:space="preserve">The supply of PPE based on the task in hazards of the task and the outcome of a suitable and </w:t>
            </w:r>
            <w:proofErr w:type="gramStart"/>
            <w:r w:rsidRPr="00B96799"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 w:rsidRPr="00B96799">
              <w:rPr>
                <w:rFonts w:ascii="Arial" w:hAnsi="Arial" w:cs="Arial"/>
                <w:sz w:val="20"/>
                <w:szCs w:val="20"/>
              </w:rPr>
              <w:t xml:space="preserve"> risk assessment.</w:t>
            </w:r>
          </w:p>
        </w:tc>
        <w:tc>
          <w:tcPr>
            <w:tcW w:w="2565" w:type="dxa"/>
            <w:vAlign w:val="center"/>
          </w:tcPr>
          <w:p w14:paraId="20D42DE1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 xml:space="preserve">PPE Issue </w:t>
            </w:r>
            <w:r>
              <w:rPr>
                <w:rFonts w:ascii="Arial" w:hAnsi="Arial" w:cs="Arial"/>
                <w:sz w:val="20"/>
                <w:szCs w:val="20"/>
              </w:rPr>
              <w:t>records</w:t>
            </w:r>
          </w:p>
        </w:tc>
      </w:tr>
      <w:tr w:rsidR="007C25EA" w:rsidRPr="00131DB5" w14:paraId="20D42DEE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DE3" w14:textId="77777777" w:rsidR="007C25EA" w:rsidRPr="00B96799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Lifting Operations and Lifting Equipment Regulations</w:t>
            </w:r>
            <w:r w:rsidR="00150B08">
              <w:rPr>
                <w:rFonts w:ascii="Arial" w:hAnsi="Arial" w:cs="Arial"/>
                <w:sz w:val="20"/>
                <w:szCs w:val="20"/>
              </w:rPr>
              <w:t xml:space="preserve"> 1992</w:t>
            </w:r>
          </w:p>
        </w:tc>
        <w:tc>
          <w:tcPr>
            <w:tcW w:w="1814" w:type="dxa"/>
            <w:vAlign w:val="center"/>
          </w:tcPr>
          <w:p w14:paraId="20D42DE4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DE5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 xml:space="preserve">Testing and maintenance of all lifting equipment including that for any specific jobs e.g. </w:t>
            </w:r>
            <w:r>
              <w:rPr>
                <w:rFonts w:ascii="Arial" w:hAnsi="Arial" w:cs="Arial"/>
                <w:sz w:val="20"/>
                <w:szCs w:val="20"/>
              </w:rPr>
              <w:t>MEWP’s</w:t>
            </w:r>
          </w:p>
          <w:p w14:paraId="20D42DE6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for competent users</w:t>
            </w:r>
          </w:p>
        </w:tc>
        <w:tc>
          <w:tcPr>
            <w:tcW w:w="2565" w:type="dxa"/>
            <w:vAlign w:val="center"/>
          </w:tcPr>
          <w:p w14:paraId="20D42DE7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Maintenance records</w:t>
            </w:r>
          </w:p>
          <w:p w14:paraId="20D42DE8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DE9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afe </w:t>
            </w:r>
            <w:r w:rsidRPr="00B96799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orking </w:t>
            </w:r>
            <w:r w:rsidRPr="00B9679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oad</w:t>
            </w:r>
            <w:r w:rsidRPr="00B96799">
              <w:rPr>
                <w:rFonts w:ascii="Arial" w:hAnsi="Arial" w:cs="Arial"/>
                <w:sz w:val="20"/>
                <w:szCs w:val="20"/>
              </w:rPr>
              <w:t xml:space="preserve"> Test reports as </w:t>
            </w:r>
            <w:r>
              <w:rPr>
                <w:rFonts w:ascii="Arial" w:hAnsi="Arial" w:cs="Arial"/>
                <w:sz w:val="20"/>
                <w:szCs w:val="20"/>
              </w:rPr>
              <w:t>necessary</w:t>
            </w:r>
          </w:p>
          <w:p w14:paraId="20D42DEA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DEB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 month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inspection reports and certificates</w:t>
            </w:r>
          </w:p>
          <w:p w14:paraId="20D42DEC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DED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records</w:t>
            </w:r>
          </w:p>
        </w:tc>
      </w:tr>
      <w:tr w:rsidR="00150B08" w:rsidRPr="00131DB5" w14:paraId="20D42DF6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DEF" w14:textId="77777777" w:rsidR="00150B08" w:rsidRDefault="00150B08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 xml:space="preserve">Smoke free </w:t>
            </w:r>
            <w:r>
              <w:rPr>
                <w:rFonts w:ascii="Arial" w:hAnsi="Arial" w:cs="Arial"/>
                <w:sz w:val="20"/>
                <w:szCs w:val="20"/>
              </w:rPr>
              <w:t xml:space="preserve">(Signs) </w:t>
            </w:r>
            <w:r w:rsidRPr="00B96799">
              <w:rPr>
                <w:rFonts w:ascii="Arial" w:hAnsi="Arial" w:cs="Arial"/>
                <w:sz w:val="20"/>
                <w:szCs w:val="20"/>
              </w:rPr>
              <w:t>Regulations 2007</w:t>
            </w:r>
          </w:p>
          <w:p w14:paraId="20D42DF0" w14:textId="77777777" w:rsidR="00150B08" w:rsidRDefault="00150B08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2012)</w:t>
            </w:r>
          </w:p>
          <w:p w14:paraId="20D42DF1" w14:textId="77777777" w:rsidR="00150B08" w:rsidRPr="00B96799" w:rsidRDefault="00150B08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2015)</w:t>
            </w:r>
          </w:p>
        </w:tc>
        <w:tc>
          <w:tcPr>
            <w:tcW w:w="1814" w:type="dxa"/>
            <w:vAlign w:val="center"/>
          </w:tcPr>
          <w:p w14:paraId="20D42DF2" w14:textId="77777777" w:rsidR="00150B08" w:rsidRPr="00B96799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DF3" w14:textId="77777777" w:rsidR="00150B08" w:rsidRPr="00B96799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Provision of Smoke free premises.</w:t>
            </w:r>
          </w:p>
          <w:p w14:paraId="20D42DF4" w14:textId="77777777" w:rsidR="00150B08" w:rsidRPr="00B96799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 xml:space="preserve">Displaying of prominent signage at entrances to the building </w:t>
            </w:r>
          </w:p>
        </w:tc>
        <w:tc>
          <w:tcPr>
            <w:tcW w:w="2565" w:type="dxa"/>
            <w:vAlign w:val="center"/>
          </w:tcPr>
          <w:p w14:paraId="20D42DF5" w14:textId="77777777" w:rsidR="00150B08" w:rsidRPr="00B96799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Displaying of no smoking signage and ensuring no smoking in the building.</w:t>
            </w:r>
          </w:p>
        </w:tc>
      </w:tr>
      <w:tr w:rsidR="007C25EA" w:rsidRPr="00131DB5" w14:paraId="20D42E00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DF7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Workplace (Health, Safety and Welfare) Regulations 1992</w:t>
            </w:r>
          </w:p>
        </w:tc>
        <w:tc>
          <w:tcPr>
            <w:tcW w:w="1814" w:type="dxa"/>
            <w:vAlign w:val="center"/>
          </w:tcPr>
          <w:p w14:paraId="20D42DF8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DF9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 xml:space="preserve">Ensures </w:t>
            </w:r>
            <w:proofErr w:type="gramStart"/>
            <w:r w:rsidRPr="0095152E"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 w:rsidRPr="0095152E">
              <w:rPr>
                <w:rFonts w:ascii="Arial" w:hAnsi="Arial" w:cs="Arial"/>
                <w:sz w:val="20"/>
                <w:szCs w:val="20"/>
              </w:rPr>
              <w:t xml:space="preserve"> maintenance of plant </w:t>
            </w:r>
            <w:proofErr w:type="spellStart"/>
            <w:r w:rsidRPr="0095152E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5152E">
              <w:rPr>
                <w:rFonts w:ascii="Arial" w:hAnsi="Arial" w:cs="Arial"/>
                <w:sz w:val="20"/>
                <w:szCs w:val="20"/>
              </w:rPr>
              <w:t>, ventilation, temperature, lighting, cleanliness.</w:t>
            </w:r>
          </w:p>
          <w:p w14:paraId="20D42DFA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Provisions such as soap, toilets, rest areas, drinking water.</w:t>
            </w:r>
          </w:p>
        </w:tc>
        <w:tc>
          <w:tcPr>
            <w:tcW w:w="2565" w:type="dxa"/>
            <w:vAlign w:val="center"/>
          </w:tcPr>
          <w:p w14:paraId="20D42DFB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Pre-site arrangements and checks</w:t>
            </w:r>
          </w:p>
          <w:p w14:paraId="20D42DFC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DFD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Maintenance records.</w:t>
            </w:r>
          </w:p>
          <w:p w14:paraId="20D42DFE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DFF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audit checks</w:t>
            </w:r>
          </w:p>
        </w:tc>
      </w:tr>
      <w:tr w:rsidR="007C25EA" w:rsidRPr="00131DB5" w14:paraId="20D42E07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E01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Manual Handling Operations 2002</w:t>
            </w:r>
          </w:p>
        </w:tc>
        <w:tc>
          <w:tcPr>
            <w:tcW w:w="1814" w:type="dxa"/>
            <w:vAlign w:val="center"/>
          </w:tcPr>
          <w:p w14:paraId="20D42E02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03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The transporting or supporting of loads by human effort. Includes lifting, putting down, pushing, pulling, carrying or moving.</w:t>
            </w:r>
          </w:p>
        </w:tc>
        <w:tc>
          <w:tcPr>
            <w:tcW w:w="2565" w:type="dxa"/>
            <w:vAlign w:val="center"/>
          </w:tcPr>
          <w:p w14:paraId="20D42E04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Manual Handling Risk assessments</w:t>
            </w:r>
          </w:p>
          <w:p w14:paraId="20D42E05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E06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</w:tr>
      <w:tr w:rsidR="007C25EA" w:rsidRPr="00131DB5" w14:paraId="20D42E0C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E08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Working at Height Regulations 2005</w:t>
            </w:r>
          </w:p>
        </w:tc>
        <w:tc>
          <w:tcPr>
            <w:tcW w:w="1814" w:type="dxa"/>
            <w:vAlign w:val="center"/>
          </w:tcPr>
          <w:p w14:paraId="20D42E09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0A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 xml:space="preserve">Ensures suitable risk assessments are completed for working at height. For </w:t>
            </w:r>
            <w:proofErr w:type="gramStart"/>
            <w:r w:rsidRPr="0095152E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95152E">
              <w:rPr>
                <w:rFonts w:ascii="Arial" w:hAnsi="Arial" w:cs="Arial"/>
                <w:sz w:val="20"/>
                <w:szCs w:val="20"/>
              </w:rPr>
              <w:t xml:space="preserve"> changing a light bulb.</w:t>
            </w:r>
          </w:p>
        </w:tc>
        <w:tc>
          <w:tcPr>
            <w:tcW w:w="2565" w:type="dxa"/>
            <w:vAlign w:val="center"/>
          </w:tcPr>
          <w:p w14:paraId="20D42E0B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Working at Height Risk assessments and method statements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(where required)</w:t>
            </w:r>
          </w:p>
        </w:tc>
      </w:tr>
      <w:tr w:rsidR="007C25EA" w:rsidRPr="00131DB5" w14:paraId="20D42E11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E0D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Electricity at Work Regulations 1989</w:t>
            </w:r>
          </w:p>
        </w:tc>
        <w:tc>
          <w:tcPr>
            <w:tcW w:w="1814" w:type="dxa"/>
            <w:vAlign w:val="center"/>
          </w:tcPr>
          <w:p w14:paraId="20D42E0E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0F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Electrical equipment Testing, for example computers, photocopiers, kettle etc.</w:t>
            </w:r>
          </w:p>
        </w:tc>
        <w:tc>
          <w:tcPr>
            <w:tcW w:w="2565" w:type="dxa"/>
            <w:vAlign w:val="center"/>
          </w:tcPr>
          <w:p w14:paraId="20D42E10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 </w:t>
            </w:r>
            <w:r w:rsidRPr="0095152E">
              <w:rPr>
                <w:rFonts w:ascii="Arial" w:hAnsi="Arial" w:cs="Arial"/>
                <w:sz w:val="20"/>
                <w:szCs w:val="20"/>
              </w:rPr>
              <w:t>Test Records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identifiable l</w:t>
            </w:r>
            <w:r w:rsidRPr="0095152E">
              <w:rPr>
                <w:rFonts w:ascii="Arial" w:hAnsi="Arial" w:cs="Arial"/>
                <w:sz w:val="20"/>
                <w:szCs w:val="20"/>
              </w:rPr>
              <w:t>abels</w:t>
            </w:r>
          </w:p>
        </w:tc>
      </w:tr>
      <w:tr w:rsidR="007C25EA" w:rsidRPr="00131DB5" w14:paraId="20D42E17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4FD6EA69" w14:textId="77777777" w:rsidR="007C25EA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Working Time Regulations 1998</w:t>
            </w:r>
          </w:p>
          <w:p w14:paraId="29001095" w14:textId="77777777" w:rsidR="00DE63F8" w:rsidRDefault="00DE63F8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2006)</w:t>
            </w:r>
          </w:p>
          <w:p w14:paraId="25BE1DA3" w14:textId="77777777" w:rsidR="00DE63F8" w:rsidRDefault="00DE63F8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2007)</w:t>
            </w:r>
          </w:p>
          <w:p w14:paraId="5C22B378" w14:textId="77777777" w:rsidR="00DE63F8" w:rsidRDefault="00DE63F8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2009)</w:t>
            </w:r>
          </w:p>
          <w:p w14:paraId="20D42E12" w14:textId="72BF4830" w:rsidR="00DE63F8" w:rsidRPr="0095152E" w:rsidRDefault="00DE63F8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2013)</w:t>
            </w:r>
          </w:p>
        </w:tc>
        <w:tc>
          <w:tcPr>
            <w:tcW w:w="1814" w:type="dxa"/>
            <w:vAlign w:val="center"/>
          </w:tcPr>
          <w:p w14:paraId="20D42E13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14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 xml:space="preserve">Defines the minimum rest periods for at work and between shifts, maximum weekly working hours etc. </w:t>
            </w:r>
          </w:p>
        </w:tc>
        <w:tc>
          <w:tcPr>
            <w:tcW w:w="2565" w:type="dxa"/>
            <w:vAlign w:val="center"/>
          </w:tcPr>
          <w:p w14:paraId="20D42E15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Contracts of Employment</w:t>
            </w:r>
          </w:p>
          <w:p w14:paraId="20D42E16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52E">
              <w:rPr>
                <w:rFonts w:ascii="Arial" w:hAnsi="Arial" w:cs="Arial"/>
                <w:sz w:val="20"/>
                <w:szCs w:val="20"/>
              </w:rPr>
              <w:t>Opt</w:t>
            </w:r>
            <w:proofErr w:type="spellEnd"/>
            <w:r w:rsidRPr="0095152E">
              <w:rPr>
                <w:rFonts w:ascii="Arial" w:hAnsi="Arial" w:cs="Arial"/>
                <w:sz w:val="20"/>
                <w:szCs w:val="20"/>
              </w:rPr>
              <w:t xml:space="preserve"> out as necessary</w:t>
            </w:r>
          </w:p>
        </w:tc>
      </w:tr>
      <w:tr w:rsidR="007C25EA" w:rsidRPr="00131DB5" w14:paraId="20D42E20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E18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Health and Safety (Consultation with employees) Regulations 1996</w:t>
            </w:r>
          </w:p>
        </w:tc>
        <w:tc>
          <w:tcPr>
            <w:tcW w:w="1814" w:type="dxa"/>
            <w:vAlign w:val="center"/>
          </w:tcPr>
          <w:p w14:paraId="20D42E19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1A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Employer’s duty to consult and provide relevant Health and Safety information to its employees.</w:t>
            </w:r>
          </w:p>
        </w:tc>
        <w:tc>
          <w:tcPr>
            <w:tcW w:w="2565" w:type="dxa"/>
            <w:vAlign w:val="center"/>
          </w:tcPr>
          <w:p w14:paraId="20D42E1B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Training Records</w:t>
            </w:r>
          </w:p>
          <w:p w14:paraId="20D42E1C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E1D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Ongoing Communication and consultation</w:t>
            </w:r>
          </w:p>
          <w:p w14:paraId="20D42E1E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E1F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&amp; S Poster display</w:t>
            </w:r>
          </w:p>
        </w:tc>
      </w:tr>
      <w:tr w:rsidR="007C25EA" w:rsidRPr="00131DB5" w14:paraId="20D42E27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E21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Health and Safety Signs and Signals Regulations 1996</w:t>
            </w:r>
          </w:p>
        </w:tc>
        <w:tc>
          <w:tcPr>
            <w:tcW w:w="1814" w:type="dxa"/>
            <w:vAlign w:val="center"/>
          </w:tcPr>
          <w:p w14:paraId="20D42E22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23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 xml:space="preserve">Safety signs will be clearly placed as identified during risk assessment process and for </w:t>
            </w:r>
            <w:r w:rsidRPr="0095152E">
              <w:rPr>
                <w:rFonts w:ascii="Arial" w:hAnsi="Arial" w:cs="Arial"/>
                <w:sz w:val="20"/>
                <w:szCs w:val="20"/>
              </w:rPr>
              <w:lastRenderedPageBreak/>
              <w:t>other specific locations e.g. first aid boxes</w:t>
            </w:r>
          </w:p>
        </w:tc>
        <w:tc>
          <w:tcPr>
            <w:tcW w:w="2565" w:type="dxa"/>
            <w:vAlign w:val="center"/>
          </w:tcPr>
          <w:p w14:paraId="20D42E24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lastRenderedPageBreak/>
              <w:t>Visible signage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throughout office and site</w:t>
            </w:r>
          </w:p>
          <w:p w14:paraId="20D42E25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E26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inspections</w:t>
            </w:r>
          </w:p>
        </w:tc>
      </w:tr>
      <w:tr w:rsidR="007C25EA" w:rsidRPr="00131DB5" w14:paraId="20D42E30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E28" w14:textId="77777777" w:rsidR="007C25EA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Display Screen Equipment Regulations 1992</w:t>
            </w:r>
          </w:p>
          <w:p w14:paraId="20D42E29" w14:textId="77777777" w:rsidR="00150B08" w:rsidRPr="0095152E" w:rsidRDefault="00150B08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2002)</w:t>
            </w:r>
          </w:p>
        </w:tc>
        <w:tc>
          <w:tcPr>
            <w:tcW w:w="1814" w:type="dxa"/>
            <w:vAlign w:val="center"/>
          </w:tcPr>
          <w:p w14:paraId="20D42E2A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2B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Minimum Health and Safety Requirements for use of Display Screen Equipment.</w:t>
            </w:r>
          </w:p>
          <w:p w14:paraId="20D42E2C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Every workstation will be analyzed in order to assess the risks.</w:t>
            </w:r>
          </w:p>
        </w:tc>
        <w:tc>
          <w:tcPr>
            <w:tcW w:w="2565" w:type="dxa"/>
            <w:vAlign w:val="center"/>
          </w:tcPr>
          <w:p w14:paraId="20D42E2D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DSE User Risk assessments</w:t>
            </w:r>
          </w:p>
          <w:p w14:paraId="20D42E2E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E2F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where required</w:t>
            </w:r>
          </w:p>
        </w:tc>
      </w:tr>
      <w:tr w:rsidR="007C25EA" w:rsidRPr="00131DB5" w14:paraId="20D42E35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E31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Occupiers Liability Act 1957</w:t>
            </w:r>
          </w:p>
        </w:tc>
        <w:tc>
          <w:tcPr>
            <w:tcW w:w="1814" w:type="dxa"/>
            <w:vAlign w:val="center"/>
          </w:tcPr>
          <w:p w14:paraId="20D42E32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DEFRA</w:t>
            </w:r>
          </w:p>
        </w:tc>
        <w:tc>
          <w:tcPr>
            <w:tcW w:w="2963" w:type="dxa"/>
            <w:vAlign w:val="center"/>
          </w:tcPr>
          <w:p w14:paraId="20D42E33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Duty of Care for the come and goings of visitors.</w:t>
            </w:r>
          </w:p>
        </w:tc>
        <w:tc>
          <w:tcPr>
            <w:tcW w:w="2565" w:type="dxa"/>
            <w:vAlign w:val="center"/>
          </w:tcPr>
          <w:p w14:paraId="20D42E34" w14:textId="77777777" w:rsidR="007C25EA" w:rsidRPr="0095152E" w:rsidRDefault="007C25EA" w:rsidP="00A20121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Visitor</w:t>
            </w:r>
            <w:r>
              <w:rPr>
                <w:rFonts w:ascii="Arial" w:hAnsi="Arial" w:cs="Arial"/>
                <w:sz w:val="20"/>
                <w:szCs w:val="20"/>
              </w:rPr>
              <w:t xml:space="preserve"> safety</w:t>
            </w:r>
          </w:p>
        </w:tc>
      </w:tr>
      <w:tr w:rsidR="007C25EA" w:rsidRPr="00131DB5" w14:paraId="20D42E3C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E36" w14:textId="77777777" w:rsidR="00150B08" w:rsidRDefault="00150B08" w:rsidP="00150B0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Health and Safety (First Aid) Regulations 1981</w:t>
            </w:r>
          </w:p>
          <w:p w14:paraId="20D42E37" w14:textId="77777777" w:rsidR="007C25EA" w:rsidRPr="0095152E" w:rsidRDefault="00150B08" w:rsidP="00150B0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2013)</w:t>
            </w:r>
          </w:p>
        </w:tc>
        <w:tc>
          <w:tcPr>
            <w:tcW w:w="1814" w:type="dxa"/>
            <w:vAlign w:val="center"/>
          </w:tcPr>
          <w:p w14:paraId="20D42E38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39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Ensures adequate First Aid supplies and appointed persons.</w:t>
            </w:r>
          </w:p>
          <w:p w14:paraId="20D42E3A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Location known to employees.</w:t>
            </w:r>
          </w:p>
        </w:tc>
        <w:tc>
          <w:tcPr>
            <w:tcW w:w="2565" w:type="dxa"/>
            <w:vAlign w:val="center"/>
          </w:tcPr>
          <w:p w14:paraId="20D42E3B" w14:textId="77777777" w:rsidR="007C25EA" w:rsidRPr="0095152E" w:rsidRDefault="007C25EA" w:rsidP="00A20121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Training Records and certificates</w:t>
            </w:r>
          </w:p>
        </w:tc>
      </w:tr>
      <w:tr w:rsidR="007C25EA" w:rsidRPr="00131DB5" w14:paraId="20D42E44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E3D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Regulatory Reform (Fire Safety) Order 2005</w:t>
            </w:r>
          </w:p>
        </w:tc>
        <w:tc>
          <w:tcPr>
            <w:tcW w:w="1814" w:type="dxa"/>
            <w:vAlign w:val="center"/>
          </w:tcPr>
          <w:p w14:paraId="20D42E3E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3F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Completion of a Fire risk assessment.</w:t>
            </w:r>
          </w:p>
          <w:p w14:paraId="20D42E40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Suitable fire extinguishers, emergency lighting and alarms.</w:t>
            </w:r>
          </w:p>
        </w:tc>
        <w:tc>
          <w:tcPr>
            <w:tcW w:w="2565" w:type="dxa"/>
            <w:vAlign w:val="center"/>
          </w:tcPr>
          <w:p w14:paraId="20D42E41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Fire Risk assessment</w:t>
            </w:r>
          </w:p>
          <w:p w14:paraId="20D42E42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E43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Fire maintenance</w:t>
            </w:r>
            <w:r>
              <w:rPr>
                <w:rFonts w:ascii="Arial" w:hAnsi="Arial" w:cs="Arial"/>
                <w:sz w:val="20"/>
                <w:szCs w:val="20"/>
              </w:rPr>
              <w:t xml:space="preserve"> e.g. extinguishers, alarm etc.</w:t>
            </w:r>
          </w:p>
        </w:tc>
      </w:tr>
      <w:tr w:rsidR="007C25EA" w:rsidRPr="00131DB5" w14:paraId="20D42E4A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E45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 xml:space="preserve">Reporting of Injuries, Diseases and Dangerous Occurrences Regulations </w:t>
            </w:r>
            <w:r w:rsidR="009B3F95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  <w:vAlign w:val="center"/>
          </w:tcPr>
          <w:p w14:paraId="20D42E46" w14:textId="77777777" w:rsidR="007C25EA" w:rsidRPr="0095152E" w:rsidRDefault="00735F89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47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Ensuring that all notifiable accidents, dangerous occurrences are reported within the time limit.</w:t>
            </w:r>
          </w:p>
        </w:tc>
        <w:tc>
          <w:tcPr>
            <w:tcW w:w="2565" w:type="dxa"/>
            <w:vAlign w:val="center"/>
          </w:tcPr>
          <w:p w14:paraId="20D42E48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Accident book</w:t>
            </w:r>
          </w:p>
          <w:p w14:paraId="20D42E49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RIDDOR Reports</w:t>
            </w:r>
          </w:p>
        </w:tc>
      </w:tr>
      <w:tr w:rsidR="007C25EA" w:rsidRPr="00131DB5" w14:paraId="20D42E50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E4B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Control of Substances Hazardous to Health Regulations 2002</w:t>
            </w:r>
          </w:p>
        </w:tc>
        <w:tc>
          <w:tcPr>
            <w:tcW w:w="1814" w:type="dxa"/>
            <w:vAlign w:val="center"/>
          </w:tcPr>
          <w:p w14:paraId="20D42E4C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4D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Monitoring of Cleaning equipment and any other flammable supplies.</w:t>
            </w:r>
          </w:p>
          <w:p w14:paraId="20D42E4E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Ensuring all materials subject to COSHH have been assessed and the necessary controls implemented.</w:t>
            </w:r>
          </w:p>
        </w:tc>
        <w:tc>
          <w:tcPr>
            <w:tcW w:w="2565" w:type="dxa"/>
            <w:vAlign w:val="center"/>
          </w:tcPr>
          <w:p w14:paraId="20D42E4F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COSHH Assessments</w:t>
            </w:r>
          </w:p>
        </w:tc>
      </w:tr>
      <w:tr w:rsidR="007C25EA" w:rsidRPr="00131DB5" w14:paraId="20D42E55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E51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proofErr w:type="gramStart"/>
            <w:r w:rsidRPr="0095152E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95152E">
              <w:rPr>
                <w:rFonts w:ascii="Arial" w:hAnsi="Arial" w:cs="Arial"/>
                <w:sz w:val="20"/>
                <w:szCs w:val="20"/>
              </w:rPr>
              <w:t xml:space="preserve"> Safety at Work Act 1974</w:t>
            </w:r>
          </w:p>
        </w:tc>
        <w:tc>
          <w:tcPr>
            <w:tcW w:w="1814" w:type="dxa"/>
            <w:vAlign w:val="center"/>
          </w:tcPr>
          <w:p w14:paraId="20D42E52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 / EHO</w:t>
            </w:r>
          </w:p>
        </w:tc>
        <w:tc>
          <w:tcPr>
            <w:tcW w:w="2963" w:type="dxa"/>
            <w:vAlign w:val="center"/>
          </w:tcPr>
          <w:p w14:paraId="20D42E53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Ensures general welfare of staff, safe systems of work and a safe workplace.</w:t>
            </w:r>
          </w:p>
        </w:tc>
        <w:tc>
          <w:tcPr>
            <w:tcW w:w="2565" w:type="dxa"/>
            <w:vAlign w:val="center"/>
          </w:tcPr>
          <w:p w14:paraId="20D42E54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All Health and Safety documents</w:t>
            </w:r>
          </w:p>
        </w:tc>
      </w:tr>
      <w:tr w:rsidR="007C25EA" w:rsidRPr="00131DB5" w14:paraId="20D42E5D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E56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Management of Health and Safety at Work Regulations 1999</w:t>
            </w:r>
          </w:p>
        </w:tc>
        <w:tc>
          <w:tcPr>
            <w:tcW w:w="1814" w:type="dxa"/>
            <w:vAlign w:val="center"/>
          </w:tcPr>
          <w:p w14:paraId="20D42E57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58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Ensuring risk assessments and suitable emergency procedures are developed and carried out.</w:t>
            </w:r>
          </w:p>
          <w:p w14:paraId="20D42E59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Provide information to employees and others on matters of Health and Safety</w:t>
            </w:r>
          </w:p>
          <w:p w14:paraId="20D42E5A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Provide adequate training</w:t>
            </w:r>
          </w:p>
        </w:tc>
        <w:tc>
          <w:tcPr>
            <w:tcW w:w="2565" w:type="dxa"/>
            <w:vAlign w:val="center"/>
          </w:tcPr>
          <w:p w14:paraId="20D42E5B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Risk assessments</w:t>
            </w:r>
          </w:p>
          <w:p w14:paraId="20D42E5C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EA" w:rsidRPr="00131DB5" w14:paraId="20D42E65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76C894F7" w14:textId="77777777" w:rsidR="007C25EA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Provision and use of work equipment regulations 1998</w:t>
            </w:r>
          </w:p>
          <w:p w14:paraId="20D42E5E" w14:textId="437C2A63" w:rsidR="00DE63F8" w:rsidRPr="0095152E" w:rsidRDefault="00DE63F8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2002)</w:t>
            </w:r>
          </w:p>
        </w:tc>
        <w:tc>
          <w:tcPr>
            <w:tcW w:w="1814" w:type="dxa"/>
            <w:vAlign w:val="center"/>
          </w:tcPr>
          <w:p w14:paraId="20D42E5F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60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Work equipment is used without risks to health and safety, regardless of its age, condition or origin.</w:t>
            </w:r>
          </w:p>
          <w:p w14:paraId="20D42E61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Includes maintenance and inspections.</w:t>
            </w:r>
          </w:p>
        </w:tc>
        <w:tc>
          <w:tcPr>
            <w:tcW w:w="2565" w:type="dxa"/>
            <w:vAlign w:val="center"/>
          </w:tcPr>
          <w:p w14:paraId="20D42E62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Calibration/ maintenance records.</w:t>
            </w:r>
          </w:p>
          <w:p w14:paraId="20D42E63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E64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Risk Assessments</w:t>
            </w:r>
          </w:p>
        </w:tc>
      </w:tr>
      <w:tr w:rsidR="007C25EA" w:rsidRPr="00131DB5" w14:paraId="20D42E6C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20D42E66" w14:textId="77777777" w:rsidR="007C25EA" w:rsidRPr="0095152E" w:rsidRDefault="007C25EA" w:rsidP="00B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A97">
              <w:rPr>
                <w:rFonts w:ascii="Arial" w:hAnsi="Arial" w:cs="Arial"/>
                <w:sz w:val="20"/>
                <w:szCs w:val="20"/>
              </w:rPr>
              <w:lastRenderedPageBreak/>
              <w:t>Confined Spaces Regulations 1997 plus amendments</w:t>
            </w:r>
          </w:p>
        </w:tc>
        <w:tc>
          <w:tcPr>
            <w:tcW w:w="1814" w:type="dxa"/>
            <w:vAlign w:val="center"/>
          </w:tcPr>
          <w:p w14:paraId="20D42E67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68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manage and protect the safety of workers in confined spaces through control measures and monitoring</w:t>
            </w:r>
          </w:p>
        </w:tc>
        <w:tc>
          <w:tcPr>
            <w:tcW w:w="2565" w:type="dxa"/>
            <w:vAlign w:val="center"/>
          </w:tcPr>
          <w:p w14:paraId="20D42E69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plans</w:t>
            </w:r>
          </w:p>
          <w:p w14:paraId="20D42E6A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E6B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assessments and monitoring</w:t>
            </w:r>
          </w:p>
        </w:tc>
      </w:tr>
      <w:tr w:rsidR="007C25EA" w:rsidRPr="00131DB5" w14:paraId="20D42E73" w14:textId="77777777" w:rsidTr="009D0218">
        <w:trPr>
          <w:trHeight w:val="1165"/>
        </w:trPr>
        <w:tc>
          <w:tcPr>
            <w:tcW w:w="2865" w:type="dxa"/>
            <w:vAlign w:val="center"/>
          </w:tcPr>
          <w:p w14:paraId="0DF83A68" w14:textId="77777777" w:rsidR="007C25EA" w:rsidRDefault="007C25EA" w:rsidP="00C50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2D8">
              <w:rPr>
                <w:rFonts w:ascii="Arial" w:hAnsi="Arial" w:cs="Arial"/>
                <w:sz w:val="20"/>
                <w:szCs w:val="20"/>
              </w:rPr>
              <w:t>Corporate Manslaughter and Homicide Act 2007</w:t>
            </w:r>
          </w:p>
          <w:p w14:paraId="20D42E6D" w14:textId="2DC7D712" w:rsidR="00DE63F8" w:rsidRPr="008D42D8" w:rsidRDefault="00DE63F8" w:rsidP="00C50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2010)</w:t>
            </w:r>
          </w:p>
        </w:tc>
        <w:tc>
          <w:tcPr>
            <w:tcW w:w="1814" w:type="dxa"/>
            <w:vAlign w:val="center"/>
          </w:tcPr>
          <w:p w14:paraId="20D42E6E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6F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safety system to manage health &amp; safety</w:t>
            </w:r>
          </w:p>
        </w:tc>
        <w:tc>
          <w:tcPr>
            <w:tcW w:w="2565" w:type="dxa"/>
            <w:vAlign w:val="center"/>
          </w:tcPr>
          <w:p w14:paraId="20D42E70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safety documents</w:t>
            </w:r>
          </w:p>
          <w:p w14:paraId="20D42E71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E72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Accident statistics</w:t>
            </w:r>
          </w:p>
        </w:tc>
      </w:tr>
      <w:tr w:rsidR="00150B08" w:rsidRPr="00131DB5" w14:paraId="20D42E7B" w14:textId="77777777" w:rsidTr="009D0218">
        <w:trPr>
          <w:trHeight w:val="1924"/>
        </w:trPr>
        <w:tc>
          <w:tcPr>
            <w:tcW w:w="2865" w:type="dxa"/>
            <w:vAlign w:val="center"/>
          </w:tcPr>
          <w:p w14:paraId="20D42E74" w14:textId="77777777"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Employers Liability Regulations (Compulsory Insurance) Regulations 1998</w:t>
            </w:r>
          </w:p>
          <w:p w14:paraId="20D42E75" w14:textId="77777777"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2004)</w:t>
            </w:r>
          </w:p>
          <w:p w14:paraId="20D42E76" w14:textId="77777777"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2008)</w:t>
            </w:r>
          </w:p>
          <w:p w14:paraId="20D42E77" w14:textId="77777777"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(as amended 2011) </w:t>
            </w:r>
          </w:p>
        </w:tc>
        <w:tc>
          <w:tcPr>
            <w:tcW w:w="1814" w:type="dxa"/>
            <w:vAlign w:val="center"/>
          </w:tcPr>
          <w:p w14:paraId="20D42E78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OPSI</w:t>
            </w:r>
          </w:p>
        </w:tc>
        <w:tc>
          <w:tcPr>
            <w:tcW w:w="2963" w:type="dxa"/>
            <w:vAlign w:val="center"/>
          </w:tcPr>
          <w:p w14:paraId="20D42E79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Requirement to have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employers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liability insurance and to display it</w:t>
            </w:r>
          </w:p>
        </w:tc>
        <w:tc>
          <w:tcPr>
            <w:tcW w:w="2565" w:type="dxa"/>
            <w:vAlign w:val="center"/>
          </w:tcPr>
          <w:p w14:paraId="20D42E7A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Display of current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employers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liability insurance</w:t>
            </w:r>
          </w:p>
        </w:tc>
      </w:tr>
      <w:tr w:rsidR="00150B08" w:rsidRPr="00131DB5" w14:paraId="20D42E80" w14:textId="77777777" w:rsidTr="009D0218">
        <w:trPr>
          <w:trHeight w:val="1257"/>
        </w:trPr>
        <w:tc>
          <w:tcPr>
            <w:tcW w:w="2865" w:type="dxa"/>
            <w:vAlign w:val="center"/>
          </w:tcPr>
          <w:p w14:paraId="20D42E7C" w14:textId="77777777" w:rsidR="00150B08" w:rsidRPr="003D1A21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A21">
              <w:rPr>
                <w:rFonts w:ascii="Arial" w:hAnsi="Arial" w:cs="Arial"/>
                <w:sz w:val="20"/>
                <w:szCs w:val="20"/>
              </w:rPr>
              <w:t>Health and Safety Information for Employees Regulations 1989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as amended 2009)</w:t>
            </w:r>
          </w:p>
        </w:tc>
        <w:tc>
          <w:tcPr>
            <w:tcW w:w="1814" w:type="dxa"/>
            <w:vAlign w:val="center"/>
          </w:tcPr>
          <w:p w14:paraId="20D42E7D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7E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Requirement to display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HSE poster with relevant information</w:t>
            </w:r>
          </w:p>
        </w:tc>
        <w:tc>
          <w:tcPr>
            <w:tcW w:w="2565" w:type="dxa"/>
            <w:vAlign w:val="center"/>
          </w:tcPr>
          <w:p w14:paraId="20D42E7F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of posters within office and sites</w:t>
            </w:r>
          </w:p>
        </w:tc>
      </w:tr>
      <w:tr w:rsidR="00150B08" w:rsidRPr="00131DB5" w14:paraId="20D42E85" w14:textId="77777777" w:rsidTr="009D0218">
        <w:trPr>
          <w:trHeight w:val="991"/>
        </w:trPr>
        <w:tc>
          <w:tcPr>
            <w:tcW w:w="2865" w:type="dxa"/>
            <w:vAlign w:val="center"/>
          </w:tcPr>
          <w:p w14:paraId="20D42E81" w14:textId="77777777"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Health and Safety (Fees) Regulations 2012</w:t>
            </w:r>
          </w:p>
        </w:tc>
        <w:tc>
          <w:tcPr>
            <w:tcW w:w="1814" w:type="dxa"/>
            <w:vAlign w:val="center"/>
          </w:tcPr>
          <w:p w14:paraId="20D42E82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83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Those who break health and safety legislation re liable for the fees incurred by the HSE</w:t>
            </w:r>
          </w:p>
        </w:tc>
        <w:tc>
          <w:tcPr>
            <w:tcW w:w="2565" w:type="dxa"/>
            <w:vAlign w:val="center"/>
          </w:tcPr>
          <w:p w14:paraId="20D42E84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</w:tr>
      <w:tr w:rsidR="00150B08" w:rsidRPr="00131DB5" w14:paraId="20D42E8A" w14:textId="77777777" w:rsidTr="009D0218">
        <w:trPr>
          <w:trHeight w:val="835"/>
        </w:trPr>
        <w:tc>
          <w:tcPr>
            <w:tcW w:w="2865" w:type="dxa"/>
            <w:vAlign w:val="center"/>
          </w:tcPr>
          <w:p w14:paraId="20D42E86" w14:textId="7C86FAC1"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="009B2EE6"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z w:val="20"/>
                <w:szCs w:val="20"/>
              </w:rPr>
              <w:t>Wiring Regulations</w:t>
            </w:r>
          </w:p>
        </w:tc>
        <w:tc>
          <w:tcPr>
            <w:tcW w:w="1814" w:type="dxa"/>
            <w:vAlign w:val="center"/>
          </w:tcPr>
          <w:p w14:paraId="20D42E87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88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installation required for the building electrical installation.</w:t>
            </w:r>
          </w:p>
        </w:tc>
        <w:tc>
          <w:tcPr>
            <w:tcW w:w="2565" w:type="dxa"/>
            <w:vAlign w:val="center"/>
          </w:tcPr>
          <w:p w14:paraId="20D42E89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5 years</w:t>
            </w:r>
          </w:p>
        </w:tc>
      </w:tr>
      <w:tr w:rsidR="00150B08" w:rsidRPr="00131DB5" w14:paraId="20D42E8F" w14:textId="77777777" w:rsidTr="009D0218">
        <w:trPr>
          <w:trHeight w:val="835"/>
        </w:trPr>
        <w:tc>
          <w:tcPr>
            <w:tcW w:w="2865" w:type="dxa"/>
            <w:vAlign w:val="center"/>
          </w:tcPr>
          <w:p w14:paraId="20D42E8B" w14:textId="77777777" w:rsidR="00150B08" w:rsidRDefault="00150B08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Water Resources (Control of Pollution) (Oil Storage) (Wales) Regulations 2016</w:t>
            </w:r>
          </w:p>
        </w:tc>
        <w:tc>
          <w:tcPr>
            <w:tcW w:w="1814" w:type="dxa"/>
            <w:vAlign w:val="center"/>
          </w:tcPr>
          <w:p w14:paraId="20D42E8C" w14:textId="77777777" w:rsidR="00150B08" w:rsidRPr="00D763C7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D763C7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E8D" w14:textId="77777777" w:rsidR="00150B08" w:rsidRPr="00D763C7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D763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 relation to any container in which oil is being stored</w:t>
            </w:r>
          </w:p>
        </w:tc>
        <w:tc>
          <w:tcPr>
            <w:tcW w:w="2565" w:type="dxa"/>
            <w:vAlign w:val="center"/>
          </w:tcPr>
          <w:p w14:paraId="20D42E8E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</w:tr>
      <w:tr w:rsidR="00150B08" w:rsidRPr="00131DB5" w14:paraId="20D42E94" w14:textId="77777777" w:rsidTr="009D0218">
        <w:trPr>
          <w:trHeight w:val="835"/>
        </w:trPr>
        <w:tc>
          <w:tcPr>
            <w:tcW w:w="2865" w:type="dxa"/>
            <w:vAlign w:val="center"/>
          </w:tcPr>
          <w:p w14:paraId="20D42E90" w14:textId="77777777" w:rsidR="00150B08" w:rsidRPr="001F25FD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Protection Act 1998</w:t>
            </w:r>
          </w:p>
        </w:tc>
        <w:tc>
          <w:tcPr>
            <w:tcW w:w="1814" w:type="dxa"/>
            <w:vAlign w:val="center"/>
          </w:tcPr>
          <w:p w14:paraId="20D42E91" w14:textId="77777777" w:rsidR="00150B08" w:rsidRPr="001F25FD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ICO</w:t>
            </w:r>
          </w:p>
        </w:tc>
        <w:tc>
          <w:tcPr>
            <w:tcW w:w="2963" w:type="dxa"/>
            <w:vAlign w:val="center"/>
          </w:tcPr>
          <w:p w14:paraId="20D42E92" w14:textId="77777777" w:rsidR="00150B08" w:rsidRPr="001F25FD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maintain data and records sufficiently and with due care and diligence</w:t>
            </w:r>
          </w:p>
        </w:tc>
        <w:tc>
          <w:tcPr>
            <w:tcW w:w="2565" w:type="dxa"/>
            <w:vAlign w:val="center"/>
          </w:tcPr>
          <w:p w14:paraId="20D42E93" w14:textId="77777777" w:rsidR="00150B08" w:rsidRPr="001F25FD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</w:tr>
      <w:tr w:rsidR="00150B08" w:rsidRPr="00131DB5" w14:paraId="20D42E9B" w14:textId="77777777" w:rsidTr="009D0218">
        <w:trPr>
          <w:trHeight w:val="835"/>
        </w:trPr>
        <w:tc>
          <w:tcPr>
            <w:tcW w:w="2865" w:type="dxa"/>
            <w:vAlign w:val="center"/>
          </w:tcPr>
          <w:p w14:paraId="20D42E95" w14:textId="77777777" w:rsidR="00150B08" w:rsidRDefault="00150B08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Scrap Metal Dealers Act</w:t>
            </w:r>
          </w:p>
          <w:p w14:paraId="20D42E96" w14:textId="77777777"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  <w:vAlign w:val="center"/>
          </w:tcPr>
          <w:p w14:paraId="20D42E97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E98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improve the accuracy of documentation relating to scrap metals</w:t>
            </w:r>
          </w:p>
        </w:tc>
        <w:tc>
          <w:tcPr>
            <w:tcW w:w="2565" w:type="dxa"/>
            <w:vAlign w:val="center"/>
          </w:tcPr>
          <w:p w14:paraId="20D42E99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Records and </w:t>
            </w:r>
            <w:r w:rsidRPr="00B10EBC">
              <w:rPr>
                <w:rFonts w:ascii="Arial" w:hAnsi="Arial" w:cs="Arial"/>
                <w:sz w:val="20"/>
                <w:szCs w:val="20"/>
              </w:rPr>
              <w:t>WT</w:t>
            </w:r>
            <w:r>
              <w:rPr>
                <w:rFonts w:ascii="Arial" w:hAnsi="Arial" w:cs="Arial"/>
                <w:sz w:val="20"/>
                <w:szCs w:val="20"/>
              </w:rPr>
              <w:t xml:space="preserve"> notes.</w:t>
            </w:r>
          </w:p>
          <w:p w14:paraId="20D42E9A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Duty of Care</w:t>
            </w:r>
          </w:p>
        </w:tc>
      </w:tr>
      <w:tr w:rsidR="009B2EE6" w:rsidRPr="00131DB5" w14:paraId="74732F0A" w14:textId="77777777" w:rsidTr="009D0218">
        <w:trPr>
          <w:trHeight w:val="835"/>
        </w:trPr>
        <w:tc>
          <w:tcPr>
            <w:tcW w:w="2865" w:type="dxa"/>
            <w:vAlign w:val="center"/>
          </w:tcPr>
          <w:p w14:paraId="54B10521" w14:textId="72FF9A96" w:rsidR="009B2EE6" w:rsidRDefault="009B2EE6" w:rsidP="009B2EE6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Data Protection Regulations 2018</w:t>
            </w:r>
          </w:p>
        </w:tc>
        <w:tc>
          <w:tcPr>
            <w:tcW w:w="1814" w:type="dxa"/>
            <w:vAlign w:val="center"/>
          </w:tcPr>
          <w:p w14:paraId="261EAFC9" w14:textId="52DA6C2B" w:rsidR="009B2EE6" w:rsidRDefault="009B2EE6" w:rsidP="009B2EE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ICO</w:t>
            </w:r>
          </w:p>
        </w:tc>
        <w:tc>
          <w:tcPr>
            <w:tcW w:w="2963" w:type="dxa"/>
            <w:vAlign w:val="center"/>
          </w:tcPr>
          <w:p w14:paraId="024A81F9" w14:textId="20749B3E" w:rsidR="009B2EE6" w:rsidRDefault="009B2EE6" w:rsidP="009B2EE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Requirements to ensure Data is processed in accordance with the principles, people are trained and aware of its requirements, breaches and our policies</w:t>
            </w:r>
          </w:p>
        </w:tc>
        <w:tc>
          <w:tcPr>
            <w:tcW w:w="2565" w:type="dxa"/>
            <w:vAlign w:val="center"/>
          </w:tcPr>
          <w:p w14:paraId="34746966" w14:textId="77777777" w:rsidR="009B2EE6" w:rsidRDefault="009B2EE6" w:rsidP="009B2EE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ICO Registration</w:t>
            </w:r>
          </w:p>
          <w:p w14:paraId="70FC39A8" w14:textId="77777777" w:rsidR="009B2EE6" w:rsidRDefault="009B2EE6" w:rsidP="009B2EE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7F68D9A9" w14:textId="173CC670" w:rsidR="009B2EE6" w:rsidRDefault="009B2EE6" w:rsidP="009B2EE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Policies and training</w:t>
            </w:r>
          </w:p>
        </w:tc>
      </w:tr>
      <w:tr w:rsidR="009D0218" w:rsidRPr="00131DB5" w14:paraId="4EF0C34B" w14:textId="77777777" w:rsidTr="009D0218">
        <w:trPr>
          <w:trHeight w:val="835"/>
        </w:trPr>
        <w:tc>
          <w:tcPr>
            <w:tcW w:w="2865" w:type="dxa"/>
            <w:vAlign w:val="center"/>
          </w:tcPr>
          <w:p w14:paraId="37476F70" w14:textId="50875441" w:rsidR="009D0218" w:rsidRPr="00FF6528" w:rsidRDefault="009D0218" w:rsidP="009D021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Computer Misuse Act 1990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(as amended by the Police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and Justice act 2006 and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the Serious Crime Act 2015)</w:t>
            </w:r>
          </w:p>
        </w:tc>
        <w:tc>
          <w:tcPr>
            <w:tcW w:w="1814" w:type="dxa"/>
            <w:vAlign w:val="center"/>
          </w:tcPr>
          <w:p w14:paraId="4A8AF706" w14:textId="5A6AEA72" w:rsidR="009D0218" w:rsidRPr="00FF6528" w:rsidRDefault="009D0218" w:rsidP="009B2EE6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Criminal Activity </w:t>
            </w:r>
          </w:p>
        </w:tc>
        <w:tc>
          <w:tcPr>
            <w:tcW w:w="2963" w:type="dxa"/>
            <w:vAlign w:val="center"/>
          </w:tcPr>
          <w:p w14:paraId="0743EBF4" w14:textId="5E768D4D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Requirements to ensure the d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isposal date on records or calculated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from dates held electronically.</w:t>
            </w:r>
          </w:p>
          <w:p w14:paraId="7B93940A" w14:textId="77745762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Requirement for users to agree to a code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of conduct that warns against computer</w:t>
            </w:r>
          </w:p>
          <w:p w14:paraId="50338B21" w14:textId="67A33AEB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misuse</w:t>
            </w:r>
          </w:p>
        </w:tc>
        <w:tc>
          <w:tcPr>
            <w:tcW w:w="2565" w:type="dxa"/>
            <w:vAlign w:val="center"/>
          </w:tcPr>
          <w:p w14:paraId="646D44AE" w14:textId="379D2F7A" w:rsidR="009D0218" w:rsidRPr="00FF6528" w:rsidRDefault="009D0218" w:rsidP="009B2EE6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As required </w:t>
            </w:r>
          </w:p>
        </w:tc>
      </w:tr>
      <w:tr w:rsidR="009D0218" w:rsidRPr="00131DB5" w14:paraId="03B01DD0" w14:textId="77777777" w:rsidTr="009D0218">
        <w:trPr>
          <w:trHeight w:val="1600"/>
        </w:trPr>
        <w:tc>
          <w:tcPr>
            <w:tcW w:w="2865" w:type="dxa"/>
            <w:vAlign w:val="center"/>
          </w:tcPr>
          <w:p w14:paraId="6F163E13" w14:textId="00AFD853" w:rsidR="009D0218" w:rsidRPr="00FF6528" w:rsidRDefault="009D0218" w:rsidP="009D021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The Communications Act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2003</w:t>
            </w:r>
          </w:p>
        </w:tc>
        <w:tc>
          <w:tcPr>
            <w:tcW w:w="1814" w:type="dxa"/>
            <w:vAlign w:val="center"/>
          </w:tcPr>
          <w:p w14:paraId="4358493A" w14:textId="6C1E4528" w:rsidR="009D0218" w:rsidRPr="00FF6528" w:rsidRDefault="009D0218" w:rsidP="009B2EE6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Criminal Activity</w:t>
            </w:r>
          </w:p>
        </w:tc>
        <w:tc>
          <w:tcPr>
            <w:tcW w:w="2963" w:type="dxa"/>
            <w:vAlign w:val="center"/>
          </w:tcPr>
          <w:p w14:paraId="2CFE0652" w14:textId="5720770C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Provides that sending malicious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communication using social media is a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criminal offence.</w:t>
            </w:r>
          </w:p>
        </w:tc>
        <w:tc>
          <w:tcPr>
            <w:tcW w:w="2565" w:type="dxa"/>
            <w:vAlign w:val="center"/>
          </w:tcPr>
          <w:p w14:paraId="28453FDF" w14:textId="7D9D9B65" w:rsidR="009D0218" w:rsidRPr="00FF6528" w:rsidRDefault="009D0218" w:rsidP="009B2EE6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As required </w:t>
            </w:r>
          </w:p>
        </w:tc>
      </w:tr>
      <w:tr w:rsidR="009D0218" w:rsidRPr="00131DB5" w14:paraId="208FF4A0" w14:textId="77777777" w:rsidTr="009D0218">
        <w:trPr>
          <w:trHeight w:val="835"/>
        </w:trPr>
        <w:tc>
          <w:tcPr>
            <w:tcW w:w="2865" w:type="dxa"/>
            <w:vAlign w:val="center"/>
          </w:tcPr>
          <w:p w14:paraId="5A99AC57" w14:textId="77777777" w:rsidR="009D0218" w:rsidRPr="00FF6528" w:rsidRDefault="009D0218" w:rsidP="009D021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Sexual Offences Act 2003</w:t>
            </w:r>
          </w:p>
          <w:p w14:paraId="54755F85" w14:textId="77777777" w:rsidR="009D0218" w:rsidRPr="00FF6528" w:rsidRDefault="009D0218" w:rsidP="009D021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(as amended by the Serious</w:t>
            </w:r>
          </w:p>
          <w:p w14:paraId="099A0712" w14:textId="35DE60F6" w:rsidR="009D0218" w:rsidRPr="00FF6528" w:rsidRDefault="009D0218" w:rsidP="009D021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Crime Act 2015)</w:t>
            </w:r>
          </w:p>
        </w:tc>
        <w:tc>
          <w:tcPr>
            <w:tcW w:w="1814" w:type="dxa"/>
            <w:vAlign w:val="center"/>
          </w:tcPr>
          <w:p w14:paraId="750DF86E" w14:textId="4B2734A7" w:rsidR="009D0218" w:rsidRPr="00FF6528" w:rsidRDefault="009D0218" w:rsidP="009B2EE6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Criminal Activity </w:t>
            </w:r>
          </w:p>
        </w:tc>
        <w:tc>
          <w:tcPr>
            <w:tcW w:w="2963" w:type="dxa"/>
            <w:vAlign w:val="center"/>
          </w:tcPr>
          <w:p w14:paraId="3110E0B6" w14:textId="051DFDE1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A process must exist by which offensive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or threatening material can be reported</w:t>
            </w:r>
          </w:p>
          <w:p w14:paraId="6F896248" w14:textId="77777777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and acted upon in confidence.</w:t>
            </w:r>
          </w:p>
          <w:p w14:paraId="182118B0" w14:textId="4A42727D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Internet and Email Usage Policy and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Acceptable Use Policy must state that the</w:t>
            </w:r>
          </w:p>
          <w:p w14:paraId="0EF10661" w14:textId="1022AA81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Internet is only to be used for business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purposes and that misuse will be subject</w:t>
            </w:r>
          </w:p>
          <w:p w14:paraId="34008B53" w14:textId="4E8C89F3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to disciplinary action and possible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prosecution.</w:t>
            </w:r>
          </w:p>
        </w:tc>
        <w:tc>
          <w:tcPr>
            <w:tcW w:w="2565" w:type="dxa"/>
            <w:vAlign w:val="center"/>
          </w:tcPr>
          <w:p w14:paraId="13EDB045" w14:textId="40049E9A" w:rsidR="009D0218" w:rsidRPr="00FF6528" w:rsidRDefault="009D0218" w:rsidP="009B2EE6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As required – policies reviewed annually in January </w:t>
            </w:r>
          </w:p>
        </w:tc>
      </w:tr>
      <w:tr w:rsidR="009D0218" w:rsidRPr="00131DB5" w14:paraId="54E5ACDA" w14:textId="77777777" w:rsidTr="009D0218">
        <w:trPr>
          <w:trHeight w:val="835"/>
        </w:trPr>
        <w:tc>
          <w:tcPr>
            <w:tcW w:w="2865" w:type="dxa"/>
            <w:vAlign w:val="center"/>
          </w:tcPr>
          <w:p w14:paraId="16D40CE7" w14:textId="77777777" w:rsidR="009D0218" w:rsidRPr="00FF6528" w:rsidRDefault="009D0218" w:rsidP="009D021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Value Added Tax Act 1994</w:t>
            </w:r>
          </w:p>
          <w:p w14:paraId="65C26C5F" w14:textId="5FFFA7C6" w:rsidR="009D0218" w:rsidRPr="00FF6528" w:rsidRDefault="009D0218" w:rsidP="009D021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(Schedule 11)</w:t>
            </w:r>
          </w:p>
        </w:tc>
        <w:tc>
          <w:tcPr>
            <w:tcW w:w="1814" w:type="dxa"/>
            <w:vAlign w:val="center"/>
          </w:tcPr>
          <w:p w14:paraId="6EC45472" w14:textId="748CDBB0" w:rsidR="009D0218" w:rsidRPr="00FF6528" w:rsidRDefault="009D0218" w:rsidP="009B2EE6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Data Retention </w:t>
            </w:r>
          </w:p>
        </w:tc>
        <w:tc>
          <w:tcPr>
            <w:tcW w:w="2963" w:type="dxa"/>
            <w:vAlign w:val="center"/>
          </w:tcPr>
          <w:p w14:paraId="0B20A4EA" w14:textId="7C09103B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Controls to ensure that records are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retained according to the legal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requirements.</w:t>
            </w:r>
          </w:p>
          <w:p w14:paraId="452F343E" w14:textId="34C38057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Disposal date on records or calculated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from dates held electronically;</w:t>
            </w:r>
          </w:p>
          <w:p w14:paraId="7CE894BE" w14:textId="3EF41374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Disposal controls ensure destruction.</w:t>
            </w:r>
          </w:p>
        </w:tc>
        <w:tc>
          <w:tcPr>
            <w:tcW w:w="2565" w:type="dxa"/>
            <w:vAlign w:val="center"/>
          </w:tcPr>
          <w:p w14:paraId="019F3CA1" w14:textId="783D72BC" w:rsidR="009D0218" w:rsidRPr="00FF6528" w:rsidRDefault="009D0218" w:rsidP="009B2EE6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HMRC</w:t>
            </w:r>
          </w:p>
        </w:tc>
      </w:tr>
      <w:tr w:rsidR="009D0218" w:rsidRPr="00131DB5" w14:paraId="6D3B1905" w14:textId="77777777" w:rsidTr="009D0218">
        <w:trPr>
          <w:trHeight w:val="835"/>
        </w:trPr>
        <w:tc>
          <w:tcPr>
            <w:tcW w:w="2865" w:type="dxa"/>
            <w:vAlign w:val="center"/>
          </w:tcPr>
          <w:p w14:paraId="16AE6E64" w14:textId="77777777" w:rsidR="009D0218" w:rsidRPr="00FF6528" w:rsidRDefault="009D0218" w:rsidP="009D021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Income Tax (Pay </w:t>
            </w:r>
            <w:proofErr w:type="gramStart"/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As</w:t>
            </w:r>
            <w:proofErr w:type="gramEnd"/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You</w:t>
            </w:r>
          </w:p>
          <w:p w14:paraId="28A38AF2" w14:textId="3CCDB683" w:rsidR="009D0218" w:rsidRPr="00FF6528" w:rsidRDefault="009D0218" w:rsidP="009D021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Earn) Regulations 2003</w:t>
            </w:r>
          </w:p>
        </w:tc>
        <w:tc>
          <w:tcPr>
            <w:tcW w:w="1814" w:type="dxa"/>
            <w:vAlign w:val="center"/>
          </w:tcPr>
          <w:p w14:paraId="25163664" w14:textId="5D505201" w:rsidR="009D0218" w:rsidRPr="00FF6528" w:rsidRDefault="009D0218" w:rsidP="009B2EE6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Data Retention</w:t>
            </w:r>
          </w:p>
        </w:tc>
        <w:tc>
          <w:tcPr>
            <w:tcW w:w="2963" w:type="dxa"/>
            <w:vAlign w:val="center"/>
          </w:tcPr>
          <w:p w14:paraId="26F6CAEE" w14:textId="4EF08CCE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Controls to ensure that records are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retained according to the legal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requirements.</w:t>
            </w:r>
          </w:p>
          <w:p w14:paraId="2F903126" w14:textId="00588E0B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Disposal date on records or calculated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from dates held electronically;</w:t>
            </w:r>
          </w:p>
          <w:p w14:paraId="603150F3" w14:textId="49BA3AAC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Disposal controls ensure destruction.</w:t>
            </w:r>
          </w:p>
        </w:tc>
        <w:tc>
          <w:tcPr>
            <w:tcW w:w="2565" w:type="dxa"/>
            <w:vAlign w:val="center"/>
          </w:tcPr>
          <w:p w14:paraId="5EFB6413" w14:textId="578663FC" w:rsidR="009D0218" w:rsidRPr="00FF6528" w:rsidRDefault="009D0218" w:rsidP="009B2EE6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HMRC</w:t>
            </w:r>
          </w:p>
        </w:tc>
      </w:tr>
      <w:tr w:rsidR="009D0218" w:rsidRPr="00131DB5" w14:paraId="32896008" w14:textId="77777777" w:rsidTr="009D0218">
        <w:trPr>
          <w:trHeight w:val="835"/>
        </w:trPr>
        <w:tc>
          <w:tcPr>
            <w:tcW w:w="2865" w:type="dxa"/>
            <w:vAlign w:val="center"/>
          </w:tcPr>
          <w:p w14:paraId="7593EA2C" w14:textId="77777777" w:rsidR="009D0218" w:rsidRPr="00FF6528" w:rsidRDefault="009D0218" w:rsidP="009D021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Malicious Communications</w:t>
            </w:r>
          </w:p>
          <w:p w14:paraId="247FC22C" w14:textId="468B8894" w:rsidR="009D0218" w:rsidRPr="00FF6528" w:rsidRDefault="009D0218" w:rsidP="009D021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Act 1988</w:t>
            </w:r>
          </w:p>
        </w:tc>
        <w:tc>
          <w:tcPr>
            <w:tcW w:w="1814" w:type="dxa"/>
            <w:vAlign w:val="center"/>
          </w:tcPr>
          <w:p w14:paraId="5448C8D5" w14:textId="0C73292B" w:rsidR="009D0218" w:rsidRPr="00FF6528" w:rsidRDefault="009D0218" w:rsidP="009B2EE6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Offensive Communications </w:t>
            </w:r>
          </w:p>
        </w:tc>
        <w:tc>
          <w:tcPr>
            <w:tcW w:w="2963" w:type="dxa"/>
            <w:vAlign w:val="center"/>
          </w:tcPr>
          <w:p w14:paraId="29C5B444" w14:textId="77777777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A5FF015" w14:textId="5EE1D86A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A process must exist by which offensive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or threatening material can be reported</w:t>
            </w:r>
          </w:p>
          <w:p w14:paraId="7D8A43D8" w14:textId="77777777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and acted upon in confidence.</w:t>
            </w:r>
          </w:p>
          <w:p w14:paraId="59B7EC80" w14:textId="1C540AF9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Internet and Email Usage Policy and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Acceptable Use Policy must state that the</w:t>
            </w:r>
          </w:p>
          <w:p w14:paraId="09AFFFD2" w14:textId="28E94AF6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Internet is only to be used for business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purposes and that misuse will be subject</w:t>
            </w:r>
          </w:p>
          <w:p w14:paraId="074D6BB9" w14:textId="6D85DEA6" w:rsidR="009D0218" w:rsidRPr="00FF6528" w:rsidRDefault="009D0218" w:rsidP="009D021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to disciplinary action and possible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prosecution.</w:t>
            </w:r>
          </w:p>
        </w:tc>
        <w:tc>
          <w:tcPr>
            <w:tcW w:w="2565" w:type="dxa"/>
            <w:vAlign w:val="center"/>
          </w:tcPr>
          <w:p w14:paraId="402A519A" w14:textId="1D10C2F6" w:rsidR="009D0218" w:rsidRPr="00FF6528" w:rsidRDefault="00841C8F" w:rsidP="009B2EE6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As required – policies reviewed annually in January</w:t>
            </w:r>
          </w:p>
        </w:tc>
      </w:tr>
      <w:tr w:rsidR="00FF6528" w:rsidRPr="00131DB5" w14:paraId="62CBE300" w14:textId="77777777" w:rsidTr="009D0218">
        <w:trPr>
          <w:trHeight w:val="835"/>
        </w:trPr>
        <w:tc>
          <w:tcPr>
            <w:tcW w:w="2865" w:type="dxa"/>
            <w:vAlign w:val="center"/>
          </w:tcPr>
          <w:p w14:paraId="7B82ADA1" w14:textId="3C402759" w:rsidR="00FF6528" w:rsidRPr="00FF6528" w:rsidRDefault="00FF6528" w:rsidP="009D021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Employment Act 2002</w:t>
            </w:r>
          </w:p>
        </w:tc>
        <w:tc>
          <w:tcPr>
            <w:tcW w:w="1814" w:type="dxa"/>
            <w:vAlign w:val="center"/>
          </w:tcPr>
          <w:p w14:paraId="5F4BF5A5" w14:textId="665E5776" w:rsidR="00FF6528" w:rsidRPr="00FF6528" w:rsidRDefault="00FF6528" w:rsidP="009B2EE6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Employment Tribunals </w:t>
            </w:r>
          </w:p>
        </w:tc>
        <w:tc>
          <w:tcPr>
            <w:tcW w:w="2963" w:type="dxa"/>
            <w:vAlign w:val="center"/>
          </w:tcPr>
          <w:p w14:paraId="1C88423F" w14:textId="3F68E193" w:rsidR="00FF6528" w:rsidRPr="00FF6528" w:rsidRDefault="00FF6528" w:rsidP="00FF652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This legislation is designed to enhance the statutory rights of parents to help balance work and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family commitments, reform employment tribunal procedures and workplace dispute resolution</w:t>
            </w:r>
          </w:p>
          <w:p w14:paraId="001B9409" w14:textId="022BC2C3" w:rsidR="00FF6528" w:rsidRPr="00FF6528" w:rsidRDefault="00FF6528" w:rsidP="00FF652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mechanisms.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65" w:type="dxa"/>
            <w:vAlign w:val="center"/>
          </w:tcPr>
          <w:p w14:paraId="3D0ACF9F" w14:textId="685EA749" w:rsidR="00FF6528" w:rsidRPr="00FF6528" w:rsidRDefault="00FF6528" w:rsidP="00FF652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All areas of the A1 Group Business and cover by up to date HR Polices </w:t>
            </w:r>
          </w:p>
        </w:tc>
      </w:tr>
      <w:tr w:rsidR="00FF6528" w:rsidRPr="00131DB5" w14:paraId="262C01BD" w14:textId="77777777" w:rsidTr="00FF6528">
        <w:trPr>
          <w:trHeight w:val="2537"/>
        </w:trPr>
        <w:tc>
          <w:tcPr>
            <w:tcW w:w="2865" w:type="dxa"/>
            <w:vAlign w:val="center"/>
          </w:tcPr>
          <w:p w14:paraId="695F0F9A" w14:textId="1D64CC45" w:rsidR="00FF6528" w:rsidRPr="00FF6528" w:rsidRDefault="00FF6528" w:rsidP="009D021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Equality Act 2010</w:t>
            </w:r>
          </w:p>
        </w:tc>
        <w:tc>
          <w:tcPr>
            <w:tcW w:w="1814" w:type="dxa"/>
            <w:vAlign w:val="center"/>
          </w:tcPr>
          <w:p w14:paraId="7EE6649A" w14:textId="0449AE73" w:rsidR="00FF6528" w:rsidRPr="00FF6528" w:rsidRDefault="00FF6528" w:rsidP="009B2EE6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Equality and Human Rights Commission</w:t>
            </w:r>
          </w:p>
        </w:tc>
        <w:tc>
          <w:tcPr>
            <w:tcW w:w="2963" w:type="dxa"/>
            <w:vAlign w:val="center"/>
          </w:tcPr>
          <w:p w14:paraId="3AA86056" w14:textId="501102CC" w:rsidR="00FF6528" w:rsidRPr="00FF6528" w:rsidRDefault="00FF6528" w:rsidP="00FF652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The Equality Act became law in October 2010. It replaces previous legislation (such as the Race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Relations Act 1976 and the Disability Discrimination Act 1995) and ensures consistency in what</w:t>
            </w:r>
          </w:p>
          <w:p w14:paraId="67AE6A18" w14:textId="57EC9315" w:rsidR="00FF6528" w:rsidRPr="00FF6528" w:rsidRDefault="00FF6528" w:rsidP="00FF652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the organisation needs to do to make the workplace a fair environment and to comply with the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law.</w:t>
            </w:r>
          </w:p>
        </w:tc>
        <w:tc>
          <w:tcPr>
            <w:tcW w:w="2565" w:type="dxa"/>
            <w:vAlign w:val="center"/>
          </w:tcPr>
          <w:p w14:paraId="29290831" w14:textId="51668A92" w:rsidR="00FF6528" w:rsidRPr="00FF6528" w:rsidRDefault="00FF6528" w:rsidP="00FF652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Equality and Diversity Policy which is reviewed Annually</w:t>
            </w:r>
          </w:p>
        </w:tc>
      </w:tr>
      <w:tr w:rsidR="00FF6528" w:rsidRPr="00131DB5" w14:paraId="66C4A0AF" w14:textId="77777777" w:rsidTr="00FF6528">
        <w:trPr>
          <w:trHeight w:val="2537"/>
        </w:trPr>
        <w:tc>
          <w:tcPr>
            <w:tcW w:w="2865" w:type="dxa"/>
            <w:vAlign w:val="center"/>
          </w:tcPr>
          <w:p w14:paraId="536DAEB5" w14:textId="085D1E22" w:rsidR="00FF6528" w:rsidRDefault="00FF6528" w:rsidP="009D021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Consumer Rights Act (CRA) 2015 </w:t>
            </w:r>
          </w:p>
        </w:tc>
        <w:tc>
          <w:tcPr>
            <w:tcW w:w="1814" w:type="dxa"/>
            <w:vAlign w:val="center"/>
          </w:tcPr>
          <w:p w14:paraId="31D43823" w14:textId="5C02D515" w:rsidR="00FF6528" w:rsidRPr="00FF6528" w:rsidRDefault="00FF6528" w:rsidP="009B2EE6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Trading Standards </w:t>
            </w:r>
          </w:p>
        </w:tc>
        <w:tc>
          <w:tcPr>
            <w:tcW w:w="2963" w:type="dxa"/>
            <w:vAlign w:val="center"/>
          </w:tcPr>
          <w:p w14:paraId="635D544A" w14:textId="6AA92E9B" w:rsidR="00FF6528" w:rsidRPr="00FF6528" w:rsidRDefault="00FF6528" w:rsidP="00FF652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The legislation is concerned primarily with fair trading, but it does require products to be fit for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purpose and safe. The CRA does not refer to EU requirements and should be little affected by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Brexit, although trading standards officers may need to find different criteria from EU</w:t>
            </w:r>
          </w:p>
          <w:p w14:paraId="357A5D26" w14:textId="0E778DAD" w:rsidR="00FF6528" w:rsidRPr="00FF6528" w:rsidRDefault="00FF6528" w:rsidP="00FF652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requirements for what constitutes a product that is “fit for purpose” from a safety point of view.</w:t>
            </w:r>
          </w:p>
        </w:tc>
        <w:tc>
          <w:tcPr>
            <w:tcW w:w="2565" w:type="dxa"/>
            <w:vAlign w:val="center"/>
          </w:tcPr>
          <w:p w14:paraId="32544AC1" w14:textId="27E850D7" w:rsidR="00FF6528" w:rsidRPr="00FF6528" w:rsidRDefault="00FF6528" w:rsidP="00FF652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Health and Safety Office needs to be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aware of the </w:t>
            </w:r>
            <w:proofErr w:type="gramStart"/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legislation</w:t>
            </w:r>
            <w:proofErr w:type="gramEnd"/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but no policy is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F6528">
              <w:rPr>
                <w:rFonts w:ascii="Arial" w:hAnsi="Arial" w:cs="Arial"/>
                <w:sz w:val="20"/>
                <w:szCs w:val="20"/>
                <w:highlight w:val="yellow"/>
              </w:rPr>
              <w:t>required at the present time.</w:t>
            </w:r>
          </w:p>
        </w:tc>
      </w:tr>
      <w:tr w:rsidR="001E7CCA" w:rsidRPr="00131DB5" w14:paraId="28BA5CC4" w14:textId="77777777" w:rsidTr="00FF6528">
        <w:trPr>
          <w:trHeight w:val="2537"/>
        </w:trPr>
        <w:tc>
          <w:tcPr>
            <w:tcW w:w="2865" w:type="dxa"/>
            <w:vAlign w:val="center"/>
          </w:tcPr>
          <w:p w14:paraId="20465E8D" w14:textId="3E01C488" w:rsidR="001E7CCA" w:rsidRDefault="001E7CCA" w:rsidP="009D021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Driving at work Regulations 1997 &amp; Road Traffic Act 1988 </w:t>
            </w:r>
          </w:p>
        </w:tc>
        <w:tc>
          <w:tcPr>
            <w:tcW w:w="1814" w:type="dxa"/>
            <w:vAlign w:val="center"/>
          </w:tcPr>
          <w:p w14:paraId="46A601F7" w14:textId="1DCBCB39" w:rsidR="001E7CCA" w:rsidRPr="001E7CCA" w:rsidRDefault="001E7CCA" w:rsidP="009B2EE6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7CCA">
              <w:rPr>
                <w:rFonts w:ascii="Arial" w:hAnsi="Arial" w:cs="Arial"/>
                <w:sz w:val="20"/>
                <w:szCs w:val="20"/>
                <w:highlight w:val="yellow"/>
              </w:rPr>
              <w:t>HSE / The Police</w:t>
            </w:r>
          </w:p>
        </w:tc>
        <w:tc>
          <w:tcPr>
            <w:tcW w:w="2963" w:type="dxa"/>
            <w:vAlign w:val="center"/>
          </w:tcPr>
          <w:p w14:paraId="69A64A27" w14:textId="72EF0312" w:rsidR="001E7CCA" w:rsidRPr="001E7CCA" w:rsidRDefault="001E7CCA" w:rsidP="00FF652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7CC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The legislation is concerned primarily with </w:t>
            </w:r>
            <w:r w:rsidRPr="001E7CCA">
              <w:rPr>
                <w:rFonts w:ascii="Arial" w:hAnsi="Arial" w:cs="Arial"/>
                <w:sz w:val="20"/>
                <w:szCs w:val="20"/>
                <w:highlight w:val="yellow"/>
              </w:rPr>
              <w:t>all employees who drive on behalf of the A1 Group in respect of their duties and the obey of the laws of the highway and those regulations from the DVSA</w:t>
            </w:r>
          </w:p>
        </w:tc>
        <w:tc>
          <w:tcPr>
            <w:tcW w:w="2565" w:type="dxa"/>
            <w:vAlign w:val="center"/>
          </w:tcPr>
          <w:p w14:paraId="2B77A9D0" w14:textId="0B281BEE" w:rsidR="001E7CCA" w:rsidRPr="00FF6528" w:rsidRDefault="001E7CCA" w:rsidP="00FF652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Monitored by the Depot Managers responsible for Transport</w:t>
            </w:r>
          </w:p>
        </w:tc>
      </w:tr>
      <w:tr w:rsidR="001E7CCA" w:rsidRPr="00131DB5" w14:paraId="5247AE72" w14:textId="77777777" w:rsidTr="00FF6528">
        <w:trPr>
          <w:trHeight w:val="2537"/>
        </w:trPr>
        <w:tc>
          <w:tcPr>
            <w:tcW w:w="2865" w:type="dxa"/>
            <w:vAlign w:val="center"/>
          </w:tcPr>
          <w:p w14:paraId="3404B6DF" w14:textId="489FB849" w:rsidR="001E7CCA" w:rsidRDefault="001E33CE" w:rsidP="009D021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Pensions Act 2008</w:t>
            </w:r>
          </w:p>
        </w:tc>
        <w:tc>
          <w:tcPr>
            <w:tcW w:w="1814" w:type="dxa"/>
            <w:vAlign w:val="center"/>
          </w:tcPr>
          <w:p w14:paraId="33E84CE6" w14:textId="26B63477" w:rsidR="001E7CCA" w:rsidRPr="001E7CCA" w:rsidRDefault="001E33CE" w:rsidP="009B2EE6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The Pensions Regulator (TRP)</w:t>
            </w:r>
          </w:p>
        </w:tc>
        <w:tc>
          <w:tcPr>
            <w:tcW w:w="2963" w:type="dxa"/>
            <w:vAlign w:val="center"/>
          </w:tcPr>
          <w:p w14:paraId="71DADCC2" w14:textId="635A3350" w:rsidR="001E7CCA" w:rsidRPr="001E33CE" w:rsidRDefault="001E7CCA" w:rsidP="00FF652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33CE">
              <w:rPr>
                <w:rFonts w:ascii="Arial" w:hAnsi="Arial" w:cs="Arial"/>
                <w:sz w:val="20"/>
                <w:szCs w:val="20"/>
                <w:highlight w:val="yellow"/>
              </w:rPr>
              <w:t>Under the Pensions Act 2008, workplace pensions have become 'opt-out' rather than 'opt-in', which means most employees are automatically enrolled into a pension provided by their employer. The law also requires employers to pay into their employees' pension schemes</w:t>
            </w:r>
          </w:p>
        </w:tc>
        <w:tc>
          <w:tcPr>
            <w:tcW w:w="2565" w:type="dxa"/>
            <w:vAlign w:val="center"/>
          </w:tcPr>
          <w:p w14:paraId="7453EA12" w14:textId="0BE03B14" w:rsidR="001E7CCA" w:rsidRDefault="001E33CE" w:rsidP="00FF652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All employees are contracted and offered entry to pension scheme after completing probationary period</w:t>
            </w:r>
          </w:p>
        </w:tc>
      </w:tr>
      <w:tr w:rsidR="001E33CE" w:rsidRPr="00131DB5" w14:paraId="38624982" w14:textId="77777777" w:rsidTr="00FF6528">
        <w:trPr>
          <w:trHeight w:val="2537"/>
        </w:trPr>
        <w:tc>
          <w:tcPr>
            <w:tcW w:w="2865" w:type="dxa"/>
            <w:vAlign w:val="center"/>
          </w:tcPr>
          <w:p w14:paraId="1756B11C" w14:textId="57C1F67B" w:rsidR="001E33CE" w:rsidRDefault="001E33CE" w:rsidP="009D021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Modern Slavery Act 2015 </w:t>
            </w:r>
          </w:p>
        </w:tc>
        <w:tc>
          <w:tcPr>
            <w:tcW w:w="1814" w:type="dxa"/>
            <w:vAlign w:val="center"/>
          </w:tcPr>
          <w:p w14:paraId="73D52D06" w14:textId="0A6CD9C9" w:rsidR="001E33CE" w:rsidRDefault="001E33CE" w:rsidP="009B2EE6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Human Rights </w:t>
            </w:r>
          </w:p>
        </w:tc>
        <w:tc>
          <w:tcPr>
            <w:tcW w:w="2963" w:type="dxa"/>
            <w:vAlign w:val="center"/>
          </w:tcPr>
          <w:p w14:paraId="542D45AD" w14:textId="6FCE2A2B" w:rsidR="001E33CE" w:rsidRPr="001E33CE" w:rsidRDefault="001E33CE" w:rsidP="00FF652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33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The purpose of the Modern Slavery Act is to prevent modern slavery – including that of children – in supply chains by enabling the public, consumers, investors and employees to know what steps that </w:t>
            </w:r>
            <w:proofErr w:type="spellStart"/>
            <w:r w:rsidRPr="001E33CE">
              <w:rPr>
                <w:rFonts w:ascii="Arial" w:hAnsi="Arial" w:cs="Arial"/>
                <w:sz w:val="20"/>
                <w:szCs w:val="20"/>
                <w:highlight w:val="yellow"/>
              </w:rPr>
              <w:t>organisations</w:t>
            </w:r>
            <w:proofErr w:type="spellEnd"/>
            <w:r w:rsidRPr="001E33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are taking to address the issue. ... Business has a key role to play in the efforts to end modern slavery.</w:t>
            </w:r>
          </w:p>
        </w:tc>
        <w:tc>
          <w:tcPr>
            <w:tcW w:w="2565" w:type="dxa"/>
            <w:vAlign w:val="center"/>
          </w:tcPr>
          <w:p w14:paraId="67D6D97C" w14:textId="229777C3" w:rsidR="001E33CE" w:rsidRDefault="001E33CE" w:rsidP="00FF652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Modern slavery Policy is in place and reviewed annually </w:t>
            </w:r>
          </w:p>
        </w:tc>
      </w:tr>
      <w:tr w:rsidR="001E33CE" w:rsidRPr="00131DB5" w14:paraId="6F231FEC" w14:textId="77777777" w:rsidTr="00FF6528">
        <w:trPr>
          <w:trHeight w:val="2537"/>
        </w:trPr>
        <w:tc>
          <w:tcPr>
            <w:tcW w:w="2865" w:type="dxa"/>
            <w:vAlign w:val="center"/>
          </w:tcPr>
          <w:p w14:paraId="72E72622" w14:textId="421472F2" w:rsidR="001E33CE" w:rsidRDefault="001E33CE" w:rsidP="001E33C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814" w:type="dxa"/>
            <w:vAlign w:val="center"/>
          </w:tcPr>
          <w:p w14:paraId="28AED27A" w14:textId="77777777" w:rsidR="001E33CE" w:rsidRDefault="001E33CE" w:rsidP="009B2EE6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63" w:type="dxa"/>
            <w:vAlign w:val="center"/>
          </w:tcPr>
          <w:p w14:paraId="55CD49FE" w14:textId="1F274F28" w:rsidR="001E33CE" w:rsidRPr="001E33CE" w:rsidRDefault="001E33CE" w:rsidP="001E33CE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65" w:type="dxa"/>
            <w:vAlign w:val="center"/>
          </w:tcPr>
          <w:p w14:paraId="3F9C6D8A" w14:textId="553CF8F2" w:rsidR="001E33CE" w:rsidRDefault="001E33CE" w:rsidP="00FF6528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D42E9C" w14:textId="77777777" w:rsidR="00184BF1" w:rsidRDefault="00184BF1" w:rsidP="00E9795F">
      <w:pPr>
        <w:rPr>
          <w:sz w:val="20"/>
          <w:szCs w:val="20"/>
        </w:rPr>
      </w:pPr>
    </w:p>
    <w:sectPr w:rsidR="00184BF1" w:rsidSect="00A778BE">
      <w:headerReference w:type="default" r:id="rId8"/>
      <w:footerReference w:type="default" r:id="rId9"/>
      <w:pgSz w:w="11906" w:h="16838"/>
      <w:pgMar w:top="1236" w:right="746" w:bottom="568" w:left="1260" w:header="5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2718B" w14:textId="77777777" w:rsidR="001230FF" w:rsidRDefault="001230FF">
      <w:r>
        <w:separator/>
      </w:r>
    </w:p>
  </w:endnote>
  <w:endnote w:type="continuationSeparator" w:id="0">
    <w:p w14:paraId="7DCD4EE7" w14:textId="77777777" w:rsidR="001230FF" w:rsidRDefault="0012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2EA2" w14:textId="77777777" w:rsidR="00665B89" w:rsidRPr="00BC7F0F" w:rsidRDefault="00665B89" w:rsidP="00BC7F0F">
    <w:pPr>
      <w:pStyle w:val="Footer"/>
      <w:jc w:val="center"/>
      <w:rPr>
        <w:color w:val="9999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BB844" w14:textId="77777777" w:rsidR="001230FF" w:rsidRDefault="001230FF">
      <w:r>
        <w:separator/>
      </w:r>
    </w:p>
  </w:footnote>
  <w:footnote w:type="continuationSeparator" w:id="0">
    <w:p w14:paraId="26556728" w14:textId="77777777" w:rsidR="001230FF" w:rsidRDefault="0012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2EA1" w14:textId="4F1372BF" w:rsidR="00665B89" w:rsidRDefault="00065ADE" w:rsidP="00131DB5">
    <w:pPr>
      <w:pStyle w:val="Header"/>
      <w:tabs>
        <w:tab w:val="clear" w:pos="8306"/>
        <w:tab w:val="right" w:pos="9180"/>
      </w:tabs>
      <w:rPr>
        <w:rFonts w:ascii="Arial" w:hAnsi="Arial" w:cs="Arial"/>
        <w:bCs/>
      </w:rPr>
    </w:pPr>
    <w:r>
      <w:rPr>
        <w:rFonts w:ascii="Arial" w:hAnsi="Arial" w:cs="Arial"/>
        <w:bCs/>
      </w:rPr>
      <w:t>July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6333F"/>
    <w:multiLevelType w:val="hybridMultilevel"/>
    <w:tmpl w:val="47B6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2D"/>
    <w:rsid w:val="00065ADE"/>
    <w:rsid w:val="00083239"/>
    <w:rsid w:val="001230FF"/>
    <w:rsid w:val="00131DB5"/>
    <w:rsid w:val="00132FB5"/>
    <w:rsid w:val="00150B08"/>
    <w:rsid w:val="00184BF1"/>
    <w:rsid w:val="00197170"/>
    <w:rsid w:val="001E33CE"/>
    <w:rsid w:val="001E5C42"/>
    <w:rsid w:val="001E7CCA"/>
    <w:rsid w:val="002156F5"/>
    <w:rsid w:val="00326BA9"/>
    <w:rsid w:val="00364D2D"/>
    <w:rsid w:val="00384BE8"/>
    <w:rsid w:val="00386EEC"/>
    <w:rsid w:val="004A4B83"/>
    <w:rsid w:val="0052024E"/>
    <w:rsid w:val="005A2A2E"/>
    <w:rsid w:val="005E61E6"/>
    <w:rsid w:val="00610DED"/>
    <w:rsid w:val="00665B89"/>
    <w:rsid w:val="00680A5D"/>
    <w:rsid w:val="006B3EE8"/>
    <w:rsid w:val="00717B77"/>
    <w:rsid w:val="00735F89"/>
    <w:rsid w:val="00745248"/>
    <w:rsid w:val="00783618"/>
    <w:rsid w:val="007C25EA"/>
    <w:rsid w:val="00835E9B"/>
    <w:rsid w:val="00841C8F"/>
    <w:rsid w:val="0088773D"/>
    <w:rsid w:val="008C5028"/>
    <w:rsid w:val="0091464A"/>
    <w:rsid w:val="00933C30"/>
    <w:rsid w:val="0095152E"/>
    <w:rsid w:val="00952E10"/>
    <w:rsid w:val="00954EBF"/>
    <w:rsid w:val="009929DB"/>
    <w:rsid w:val="009B2EE6"/>
    <w:rsid w:val="009B3F95"/>
    <w:rsid w:val="009D0218"/>
    <w:rsid w:val="009F6668"/>
    <w:rsid w:val="00A05FC4"/>
    <w:rsid w:val="00A20121"/>
    <w:rsid w:val="00A778BE"/>
    <w:rsid w:val="00AC687C"/>
    <w:rsid w:val="00B318A4"/>
    <w:rsid w:val="00B64CFA"/>
    <w:rsid w:val="00B96799"/>
    <w:rsid w:val="00BC7F0F"/>
    <w:rsid w:val="00C15854"/>
    <w:rsid w:val="00C418FB"/>
    <w:rsid w:val="00C50CAE"/>
    <w:rsid w:val="00C75969"/>
    <w:rsid w:val="00D15B00"/>
    <w:rsid w:val="00DE63F8"/>
    <w:rsid w:val="00E419C2"/>
    <w:rsid w:val="00E85DF4"/>
    <w:rsid w:val="00E9795F"/>
    <w:rsid w:val="00EE31B1"/>
    <w:rsid w:val="00EF3E82"/>
    <w:rsid w:val="00FB35D6"/>
    <w:rsid w:val="00FC0001"/>
    <w:rsid w:val="00FF6528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42D5F"/>
  <w15:docId w15:val="{337D2AAE-DD22-4544-A1B7-2BD75109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773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88773D"/>
    <w:pPr>
      <w:spacing w:before="40" w:after="40"/>
      <w:jc w:val="center"/>
    </w:pPr>
    <w:rPr>
      <w:rFonts w:ascii="Arial Narrow" w:hAnsi="Arial Narrow"/>
      <w:bCs/>
      <w:sz w:val="16"/>
      <w:szCs w:val="16"/>
      <w:lang w:val="en-US"/>
    </w:rPr>
  </w:style>
  <w:style w:type="paragraph" w:styleId="Header">
    <w:name w:val="header"/>
    <w:basedOn w:val="Normal"/>
    <w:rsid w:val="008877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773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8773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BC7F0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17B7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4ECD-F26D-4534-B741-A53DA052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Register</vt:lpstr>
    </vt:vector>
  </TitlesOfParts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Register</dc:title>
  <dc:creator>JH</dc:creator>
  <cp:lastModifiedBy>Sean Whittle</cp:lastModifiedBy>
  <cp:revision>2</cp:revision>
  <cp:lastPrinted>2013-01-30T07:15:00Z</cp:lastPrinted>
  <dcterms:created xsi:type="dcterms:W3CDTF">2019-10-14T10:22:00Z</dcterms:created>
  <dcterms:modified xsi:type="dcterms:W3CDTF">2019-10-14T10:22:00Z</dcterms:modified>
</cp:coreProperties>
</file>