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DE1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0D092FD"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766F3AE" wp14:editId="139F1EB3">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CA3E44E"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20526">
        <w:rPr>
          <w:rFonts w:ascii="Calibri" w:hAnsi="Calibri" w:cs="Arial"/>
          <w:sz w:val="22"/>
          <w:lang w:val="en-GB"/>
        </w:rPr>
        <w:t>Spillage 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67A497E" w14:textId="77777777" w:rsidR="008B5881" w:rsidRPr="00097EAD" w:rsidRDefault="008B5881" w:rsidP="006F29F3">
      <w:pPr>
        <w:rPr>
          <w:rFonts w:ascii="Calibri" w:hAnsi="Calibri" w:cs="Arial"/>
          <w:sz w:val="14"/>
          <w:lang w:val="en-GB"/>
        </w:rPr>
      </w:pPr>
    </w:p>
    <w:p w14:paraId="4C6259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74188D88"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6CFA8241" w14:textId="77777777" w:rsidR="006F29F3" w:rsidRPr="00C068EE" w:rsidRDefault="006F29F3" w:rsidP="006F29F3">
      <w:pPr>
        <w:rPr>
          <w:rFonts w:ascii="Calibri" w:hAnsi="Calibri" w:cs="Arial"/>
          <w:sz w:val="16"/>
          <w:lang w:val="en-GB"/>
        </w:rPr>
      </w:pPr>
    </w:p>
    <w:p w14:paraId="6163EE86"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1C26EB5" w14:textId="77777777" w:rsidR="008B5881" w:rsidRDefault="008B5881" w:rsidP="00BF52E6">
      <w:pPr>
        <w:rPr>
          <w:rFonts w:ascii="Calibri" w:hAnsi="Calibri" w:cs="Arial"/>
          <w:sz w:val="16"/>
          <w:lang w:val="en-GB"/>
        </w:rPr>
      </w:pPr>
    </w:p>
    <w:p w14:paraId="2B1E0267"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394EEB6E"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23AAB5C7" w14:textId="77777777" w:rsidR="00C20526" w:rsidRPr="00C20526" w:rsidRDefault="00C20526" w:rsidP="00C20526">
      <w:pPr>
        <w:rPr>
          <w:rFonts w:ascii="Calibri" w:hAnsi="Calibri" w:cs="Arial"/>
          <w:b/>
          <w:sz w:val="22"/>
          <w:lang w:val="en-GB"/>
        </w:rPr>
      </w:pPr>
    </w:p>
    <w:p w14:paraId="670C4C7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5DDE3B68" w14:textId="77777777" w:rsidR="00C20526" w:rsidRPr="00C20526" w:rsidRDefault="00C20526" w:rsidP="00C20526">
      <w:pPr>
        <w:rPr>
          <w:rFonts w:ascii="Calibri" w:hAnsi="Calibri" w:cs="Arial"/>
          <w:sz w:val="22"/>
          <w:lang w:val="en-GB"/>
        </w:rPr>
      </w:pPr>
    </w:p>
    <w:p w14:paraId="3199FE3E"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BBB54D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5CB3489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64F402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000AED1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3E36869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site make sure that all containers are</w:t>
      </w:r>
      <w:r w:rsidR="00F90DFC">
        <w:rPr>
          <w:rFonts w:ascii="Calibri" w:hAnsi="Calibri" w:cs="Arial"/>
          <w:sz w:val="22"/>
          <w:lang w:val="en-GB"/>
        </w:rPr>
        <w:t xml:space="preserve"> stowed securely on the vehicle</w:t>
      </w:r>
    </w:p>
    <w:p w14:paraId="4CD7072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In the case of contamination a result of a toilet being pushed over on site, please make sure your office and the site operator are advised and a correct ( witnessed if possible) written record of the event be made prior to attemptin</w:t>
      </w:r>
      <w:r w:rsidR="00F90DFC">
        <w:rPr>
          <w:rFonts w:ascii="Calibri" w:hAnsi="Calibri" w:cs="Arial"/>
          <w:sz w:val="22"/>
          <w:lang w:val="en-GB"/>
        </w:rPr>
        <w:t>g to clean up the contamination</w:t>
      </w:r>
    </w:p>
    <w:p w14:paraId="703A7400"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0D81287A"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2EFA893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Prior to transporting any contaminated toilet unit, ensure that no effluent or other contaminants can leak from the unit. If necessary bind securely with strong plastic sheetin</w:t>
      </w:r>
      <w:r w:rsidR="00F90DFC">
        <w:rPr>
          <w:rFonts w:ascii="Calibri" w:hAnsi="Calibri" w:cs="Arial"/>
          <w:sz w:val="22"/>
          <w:lang w:val="en-GB"/>
        </w:rPr>
        <w:t>g to contain any possible leaks</w:t>
      </w:r>
    </w:p>
    <w:p w14:paraId="5C6DF17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00D56C2D" w14:textId="77777777" w:rsidR="008B5881" w:rsidRPr="008B5881" w:rsidRDefault="008B5881"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9D8ED1" w14:textId="77777777" w:rsidTr="006F29F3">
        <w:trPr>
          <w:trHeight w:val="567"/>
          <w:jc w:val="center"/>
        </w:trPr>
        <w:tc>
          <w:tcPr>
            <w:tcW w:w="5000" w:type="pct"/>
            <w:tcBorders>
              <w:top w:val="nil"/>
              <w:left w:val="nil"/>
              <w:bottom w:val="nil"/>
              <w:right w:val="nil"/>
            </w:tcBorders>
            <w:shd w:val="clear" w:color="auto" w:fill="788284"/>
            <w:vAlign w:val="center"/>
          </w:tcPr>
          <w:p w14:paraId="16A3BD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17CA5A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50CA11D2"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EAEE6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31A805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556A954"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B9E49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8835930"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1423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8AAB17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0448" w14:textId="77777777" w:rsidR="002B0E8A" w:rsidRDefault="002B0E8A" w:rsidP="007E5BF4">
      <w:r>
        <w:separator/>
      </w:r>
    </w:p>
  </w:endnote>
  <w:endnote w:type="continuationSeparator" w:id="0">
    <w:p w14:paraId="2B011491" w14:textId="77777777" w:rsidR="002B0E8A" w:rsidRDefault="002B0E8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3979" w14:textId="77777777" w:rsidR="00A467BE" w:rsidRDefault="00A4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C04E"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00E93784" wp14:editId="0E03762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33AD" w14:textId="77777777" w:rsidR="00A467BE" w:rsidRDefault="00A4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5670" w14:textId="77777777" w:rsidR="002B0E8A" w:rsidRDefault="002B0E8A" w:rsidP="007E5BF4">
      <w:r>
        <w:separator/>
      </w:r>
    </w:p>
  </w:footnote>
  <w:footnote w:type="continuationSeparator" w:id="0">
    <w:p w14:paraId="5BE1F565" w14:textId="77777777" w:rsidR="002B0E8A" w:rsidRDefault="002B0E8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8225" w14:textId="77777777" w:rsidR="00A467BE" w:rsidRDefault="00A4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8246" w14:textId="7D941B3E"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32207">
      <w:rPr>
        <w:rFonts w:ascii="Tahoma" w:hAnsi="Tahoma" w:cs="Tahoma"/>
        <w:color w:val="BFBFBF" w:themeColor="background1" w:themeShade="BF"/>
        <w:sz w:val="16"/>
        <w:szCs w:val="16"/>
        <w:lang w:val="en-GB"/>
      </w:rPr>
      <w:t xml:space="preserve"> | Reviewed Date 1</w:t>
    </w:r>
    <w:r w:rsidR="00B32207" w:rsidRPr="00B32207">
      <w:rPr>
        <w:rFonts w:ascii="Tahoma" w:hAnsi="Tahoma" w:cs="Tahoma"/>
        <w:color w:val="BFBFBF" w:themeColor="background1" w:themeShade="BF"/>
        <w:sz w:val="16"/>
        <w:szCs w:val="16"/>
        <w:vertAlign w:val="superscript"/>
        <w:lang w:val="en-GB"/>
      </w:rPr>
      <w:t>st</w:t>
    </w:r>
    <w:r w:rsidR="00B32207">
      <w:rPr>
        <w:rFonts w:ascii="Tahoma" w:hAnsi="Tahoma" w:cs="Tahoma"/>
        <w:color w:val="BFBFBF" w:themeColor="background1" w:themeShade="BF"/>
        <w:sz w:val="16"/>
        <w:szCs w:val="16"/>
        <w:lang w:val="en-GB"/>
      </w:rPr>
      <w:t xml:space="preserve"> January 20</w:t>
    </w:r>
    <w:r w:rsidR="00A467BE">
      <w:rPr>
        <w:rFonts w:ascii="Tahoma" w:hAnsi="Tahoma" w:cs="Tahoma"/>
        <w:color w:val="BFBFBF" w:themeColor="background1" w:themeShade="BF"/>
        <w:sz w:val="16"/>
        <w:szCs w:val="16"/>
        <w:lang w:val="en-GB"/>
      </w:rPr>
      <w:t>21</w:t>
    </w:r>
  </w:p>
  <w:p w14:paraId="26B26A3C" w14:textId="77777777" w:rsidR="001D62BA" w:rsidRDefault="001D62BA" w:rsidP="00503015">
    <w:pPr>
      <w:pStyle w:val="Header"/>
      <w:jc w:val="center"/>
      <w:rPr>
        <w:rFonts w:ascii="Tahoma" w:hAnsi="Tahoma" w:cs="Tahoma"/>
        <w:color w:val="BFBFBF" w:themeColor="background1" w:themeShade="BF"/>
        <w:sz w:val="16"/>
        <w:szCs w:val="16"/>
        <w:lang w:val="en-GB"/>
      </w:rPr>
    </w:pPr>
  </w:p>
  <w:p w14:paraId="25A2391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0E3C" w14:textId="77777777" w:rsidR="00A467BE" w:rsidRDefault="00A4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0E8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B5381"/>
    <w:rsid w:val="009C0E18"/>
    <w:rsid w:val="009E4145"/>
    <w:rsid w:val="00A0039B"/>
    <w:rsid w:val="00A34174"/>
    <w:rsid w:val="00A467BE"/>
    <w:rsid w:val="00A76853"/>
    <w:rsid w:val="00B32207"/>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4232E"/>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2015-04-07T06:54:00Z</dcterms:created>
  <dcterms:modified xsi:type="dcterms:W3CDTF">2020-12-29T12:38:00Z</dcterms:modified>
  <cp:category>Recruitment</cp:category>
</cp:coreProperties>
</file>